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586A0F" w14:textId="135D77E7" w:rsidR="00AA77A2" w:rsidRDefault="00AA77A2" w:rsidP="00AA77A2">
      <w:pPr>
        <w:rPr>
          <w:color w:val="000000"/>
          <w:spacing w:val="-1"/>
          <w:sz w:val="22"/>
          <w:szCs w:val="22"/>
        </w:rPr>
      </w:pPr>
    </w:p>
    <w:p w14:paraId="3E9DF84C" w14:textId="3C12518F" w:rsidR="00595A6C" w:rsidRPr="003F4C85" w:rsidRDefault="00595A6C" w:rsidP="00EA3B7A">
      <w:pPr>
        <w:spacing w:line="276" w:lineRule="auto"/>
        <w:jc w:val="center"/>
        <w:rPr>
          <w:b/>
          <w:sz w:val="24"/>
          <w:szCs w:val="24"/>
          <w:lang w:val="de-DE"/>
        </w:rPr>
      </w:pPr>
      <w:r>
        <w:rPr>
          <w:b/>
          <w:bCs/>
          <w:sz w:val="24"/>
          <w:szCs w:val="24"/>
          <w:lang w:val="de-DE"/>
        </w:rPr>
        <w:t>Erklärung einer zu einer Freiheitsbeschränkung verurteilten Person</w:t>
      </w:r>
    </w:p>
    <w:p w14:paraId="61A370EF" w14:textId="77777777" w:rsidR="00EA3B7A" w:rsidRPr="003F4C85" w:rsidRDefault="00EA3B7A" w:rsidP="00EA3B7A">
      <w:pPr>
        <w:spacing w:line="276" w:lineRule="auto"/>
        <w:jc w:val="center"/>
        <w:rPr>
          <w:b/>
          <w:sz w:val="24"/>
          <w:szCs w:val="24"/>
          <w:lang w:val="de-DE"/>
        </w:rPr>
      </w:pPr>
    </w:p>
    <w:p w14:paraId="4D4B566C" w14:textId="1971ADA8" w:rsidR="00595A6C" w:rsidRPr="003F4C85" w:rsidRDefault="00595A6C" w:rsidP="00EA3B7A">
      <w:pPr>
        <w:spacing w:line="276" w:lineRule="auto"/>
        <w:jc w:val="both"/>
        <w:rPr>
          <w:b/>
          <w:sz w:val="24"/>
          <w:szCs w:val="24"/>
          <w:lang w:val="de-DE"/>
        </w:rPr>
      </w:pPr>
      <w:r>
        <w:rPr>
          <w:sz w:val="24"/>
          <w:szCs w:val="24"/>
          <w:lang w:val="de-DE"/>
        </w:rPr>
        <w:tab/>
        <w:t>Ich, ………………. erkläre, dass ich gemäß Art. 57 § 1 StVollzG über meine Rechte und Pflichten sowie über die Folgen des Nichtantritts der Freiheitsbeschränkungsstrafe belehrt wurde, sowie über das Verbot, meinen ständigen Aufenthaltsort ohne Zustimmung des Gerichts zu ändern (Art. 34 § 2 Pkt. 1 StGB).</w:t>
      </w:r>
    </w:p>
    <w:p w14:paraId="5E3F4CC4" w14:textId="77777777" w:rsidR="00595A6C" w:rsidRPr="003F4C85" w:rsidRDefault="00595A6C" w:rsidP="00EA3B7A">
      <w:pPr>
        <w:spacing w:line="276" w:lineRule="auto"/>
        <w:jc w:val="both"/>
        <w:rPr>
          <w:sz w:val="24"/>
          <w:szCs w:val="24"/>
          <w:lang w:val="de-DE"/>
        </w:rPr>
      </w:pPr>
      <w:r>
        <w:rPr>
          <w:sz w:val="24"/>
          <w:szCs w:val="24"/>
          <w:lang w:val="de-DE"/>
        </w:rPr>
        <w:tab/>
        <w:t>Ich erkläre, dass ich mich während der Vollstreckung der Freiheitsbeschränkung unter folgender Anschrift aufhalten werde:</w:t>
      </w:r>
    </w:p>
    <w:p w14:paraId="3D70EBBF" w14:textId="77777777" w:rsidR="00595A6C" w:rsidRPr="003F4C85" w:rsidRDefault="008C1778" w:rsidP="00EA3B7A">
      <w:pPr>
        <w:spacing w:line="276" w:lineRule="auto"/>
        <w:jc w:val="center"/>
        <w:rPr>
          <w:sz w:val="24"/>
          <w:szCs w:val="24"/>
          <w:lang w:val="de-DE"/>
        </w:rPr>
      </w:pPr>
      <w:r>
        <w:rPr>
          <w:sz w:val="24"/>
          <w:szCs w:val="24"/>
          <w:lang w:val="de-DE"/>
        </w:rPr>
        <w:t>………………………………………………..</w:t>
      </w:r>
    </w:p>
    <w:p w14:paraId="3010D17C" w14:textId="77777777" w:rsidR="00595A6C" w:rsidRPr="003F4C85" w:rsidRDefault="00595A6C" w:rsidP="00EA3B7A">
      <w:pPr>
        <w:spacing w:line="276" w:lineRule="auto"/>
        <w:jc w:val="center"/>
        <w:rPr>
          <w:sz w:val="16"/>
          <w:szCs w:val="16"/>
          <w:lang w:val="de-DE"/>
        </w:rPr>
      </w:pPr>
      <w:r>
        <w:rPr>
          <w:sz w:val="16"/>
          <w:szCs w:val="16"/>
          <w:lang w:val="de-DE"/>
        </w:rPr>
        <w:t>(genaue vom Verurteilten angegebene Aufenthaltsadresse)</w:t>
      </w:r>
    </w:p>
    <w:p w14:paraId="10414662" w14:textId="77777777" w:rsidR="00595A6C" w:rsidRPr="003F4C85" w:rsidRDefault="00595A6C" w:rsidP="00EA3B7A">
      <w:pPr>
        <w:spacing w:line="276" w:lineRule="auto"/>
        <w:jc w:val="center"/>
        <w:rPr>
          <w:sz w:val="24"/>
          <w:szCs w:val="24"/>
          <w:lang w:val="de-DE"/>
        </w:rPr>
      </w:pPr>
    </w:p>
    <w:p w14:paraId="3335EA41" w14:textId="77777777" w:rsidR="00595A6C" w:rsidRPr="003F4C85" w:rsidRDefault="00595A6C" w:rsidP="00EA3B7A">
      <w:pPr>
        <w:spacing w:line="276" w:lineRule="auto"/>
        <w:jc w:val="center"/>
        <w:rPr>
          <w:sz w:val="24"/>
          <w:szCs w:val="24"/>
          <w:lang w:val="de-DE"/>
        </w:rPr>
      </w:pPr>
    </w:p>
    <w:p w14:paraId="3668927C" w14:textId="08A77202" w:rsidR="00595A6C" w:rsidRPr="003F4C85" w:rsidRDefault="00595A6C" w:rsidP="00EA3B7A">
      <w:pPr>
        <w:spacing w:line="276" w:lineRule="auto"/>
        <w:jc w:val="both"/>
        <w:rPr>
          <w:sz w:val="24"/>
          <w:szCs w:val="24"/>
          <w:lang w:val="de-DE"/>
        </w:rPr>
      </w:pPr>
      <w:r>
        <w:rPr>
          <w:sz w:val="24"/>
          <w:szCs w:val="24"/>
          <w:lang w:val="de-DE"/>
        </w:rPr>
        <w:t>unter der Telefonnummer: ……………………………, E-Mail: ………………….</w:t>
      </w:r>
      <w:r w:rsidR="003F4C85">
        <w:rPr>
          <w:sz w:val="24"/>
          <w:szCs w:val="24"/>
          <w:lang w:val="de-DE"/>
        </w:rPr>
        <w:t xml:space="preserve"> erreichbar sein</w:t>
      </w:r>
    </w:p>
    <w:p w14:paraId="64C874D6" w14:textId="763611BB" w:rsidR="00595A6C" w:rsidRPr="003F4C85" w:rsidRDefault="00595A6C" w:rsidP="00EA3B7A">
      <w:pPr>
        <w:spacing w:after="60" w:line="276" w:lineRule="auto"/>
        <w:jc w:val="both"/>
        <w:rPr>
          <w:sz w:val="24"/>
          <w:szCs w:val="24"/>
          <w:lang w:val="de-DE"/>
        </w:rPr>
      </w:pPr>
      <w:r>
        <w:rPr>
          <w:sz w:val="24"/>
          <w:szCs w:val="24"/>
          <w:lang w:val="de-DE"/>
        </w:rPr>
        <w:t>und ich erkläre mich mit der Kommunikation per Telefon und E-Mail einverstanden.</w:t>
      </w:r>
    </w:p>
    <w:p w14:paraId="7937351E" w14:textId="77777777" w:rsidR="00595A6C" w:rsidRPr="003F4C85" w:rsidRDefault="00595A6C" w:rsidP="00EA3B7A">
      <w:pPr>
        <w:spacing w:line="276" w:lineRule="auto"/>
        <w:jc w:val="both"/>
        <w:rPr>
          <w:sz w:val="24"/>
          <w:szCs w:val="24"/>
          <w:lang w:val="de-DE"/>
        </w:rPr>
      </w:pPr>
      <w:r>
        <w:rPr>
          <w:sz w:val="24"/>
          <w:szCs w:val="24"/>
          <w:lang w:val="de-DE"/>
        </w:rPr>
        <w:tab/>
        <w:t>Sollte ich beabsichtigen, meinen Aufenthaltsort, meine Telefonnummer oder meine E-Mail-Adresse zu ändern, oder beabsichtigen, ins Ausland zu verreisen, werde ich den hauptamtlichen Bewährungshelfer unverzüglich benachrichtigen.</w:t>
      </w:r>
    </w:p>
    <w:p w14:paraId="55FDB802" w14:textId="77777777" w:rsidR="00595A6C" w:rsidRPr="003F4C85" w:rsidRDefault="00595A6C" w:rsidP="00EA3B7A">
      <w:pPr>
        <w:spacing w:before="120" w:line="276" w:lineRule="auto"/>
        <w:jc w:val="both"/>
        <w:rPr>
          <w:sz w:val="24"/>
          <w:szCs w:val="24"/>
          <w:lang w:val="de-DE"/>
        </w:rPr>
      </w:pPr>
      <w:r>
        <w:rPr>
          <w:sz w:val="24"/>
          <w:szCs w:val="24"/>
          <w:lang w:val="de-DE"/>
        </w:rPr>
        <w:tab/>
        <w:t>Ich erkläre, darüber belehrt worden zu sein, dass sämtliche an die oben genannte Anschrift versandten Schriftstücke vom Gericht und vom hauptamtlichen Bewährungshelfer als zugestellt betrachtet werden.</w:t>
      </w:r>
    </w:p>
    <w:p w14:paraId="78622888" w14:textId="77777777" w:rsidR="00DB0A33" w:rsidRPr="003F4C85" w:rsidRDefault="00DB0A33" w:rsidP="00EA3B7A">
      <w:pPr>
        <w:spacing w:before="120" w:line="276" w:lineRule="auto"/>
        <w:jc w:val="center"/>
        <w:rPr>
          <w:b/>
          <w:sz w:val="24"/>
          <w:szCs w:val="24"/>
          <w:lang w:val="de-DE"/>
        </w:rPr>
      </w:pPr>
    </w:p>
    <w:p w14:paraId="0097C6F9" w14:textId="25CFB52A" w:rsidR="0019690F" w:rsidRPr="003F4C85" w:rsidRDefault="0019690F" w:rsidP="00DB0A33">
      <w:pPr>
        <w:spacing w:line="276" w:lineRule="auto"/>
        <w:jc w:val="center"/>
        <w:rPr>
          <w:b/>
          <w:sz w:val="24"/>
          <w:szCs w:val="24"/>
          <w:lang w:val="de-DE"/>
        </w:rPr>
      </w:pPr>
      <w:r>
        <w:rPr>
          <w:b/>
          <w:bCs/>
          <w:sz w:val="24"/>
          <w:szCs w:val="24"/>
          <w:lang w:val="de-DE"/>
        </w:rPr>
        <w:t>BELEHRUNG FÜR ZU EINER FREIHEITSBESCHRÄNKUNG VERURTEILTE PERSON</w:t>
      </w:r>
    </w:p>
    <w:p w14:paraId="59B8E01A" w14:textId="77777777" w:rsidR="0019690F" w:rsidRPr="003F4C85" w:rsidRDefault="0019690F" w:rsidP="00EA3B7A">
      <w:pPr>
        <w:spacing w:before="120" w:line="276" w:lineRule="auto"/>
        <w:jc w:val="center"/>
        <w:rPr>
          <w:b/>
          <w:sz w:val="24"/>
          <w:szCs w:val="24"/>
          <w:lang w:val="de-DE"/>
        </w:rPr>
      </w:pPr>
    </w:p>
    <w:p w14:paraId="247A19C7" w14:textId="77777777" w:rsidR="0019690F" w:rsidRPr="003F4C85" w:rsidRDefault="0019690F" w:rsidP="00E247E5">
      <w:pPr>
        <w:pStyle w:val="NormalnyWeb"/>
        <w:spacing w:before="0" w:after="0"/>
        <w:jc w:val="center"/>
        <w:rPr>
          <w:b/>
          <w:sz w:val="22"/>
          <w:szCs w:val="22"/>
          <w:lang w:val="de-DE"/>
        </w:rPr>
      </w:pPr>
      <w:r>
        <w:rPr>
          <w:b/>
          <w:bCs/>
          <w:sz w:val="22"/>
          <w:szCs w:val="22"/>
          <w:lang w:val="de-DE"/>
        </w:rPr>
        <w:t>PFLICHTEN</w:t>
      </w:r>
    </w:p>
    <w:p w14:paraId="7B3BA7BA" w14:textId="77777777" w:rsidR="0019690F" w:rsidRPr="003F4C85" w:rsidRDefault="0019690F" w:rsidP="00E247E5">
      <w:pPr>
        <w:pStyle w:val="NormalnyWeb"/>
        <w:spacing w:before="0" w:after="0"/>
        <w:jc w:val="both"/>
        <w:rPr>
          <w:sz w:val="22"/>
          <w:szCs w:val="22"/>
          <w:lang w:val="de-DE"/>
        </w:rPr>
      </w:pPr>
      <w:r>
        <w:rPr>
          <w:sz w:val="22"/>
          <w:szCs w:val="22"/>
          <w:lang w:val="de-DE"/>
        </w:rPr>
        <w:t>Art. 34 § 2 StGB Während der Vollstreckung der Freiheitsbeschränkung ist der Verurteilte verpflichtet,</w:t>
      </w:r>
    </w:p>
    <w:p w14:paraId="3A9E92DE" w14:textId="77777777" w:rsidR="0019690F" w:rsidRPr="003F4C85" w:rsidRDefault="0019690F" w:rsidP="00E247E5">
      <w:pPr>
        <w:pStyle w:val="NormalnyWeb"/>
        <w:spacing w:before="0" w:after="0"/>
        <w:jc w:val="both"/>
        <w:rPr>
          <w:sz w:val="22"/>
          <w:szCs w:val="22"/>
          <w:lang w:val="de-DE"/>
        </w:rPr>
      </w:pPr>
      <w:r>
        <w:rPr>
          <w:sz w:val="22"/>
          <w:szCs w:val="22"/>
          <w:lang w:val="de-DE"/>
        </w:rPr>
        <w:t xml:space="preserve">1) seinen ständigen Wohnsitz nicht ohne Zustimmung des Gerichts zu wechseln, </w:t>
      </w:r>
    </w:p>
    <w:p w14:paraId="707511B5" w14:textId="77777777" w:rsidR="0019690F" w:rsidRPr="003F4C85" w:rsidRDefault="0019690F" w:rsidP="00E247E5">
      <w:pPr>
        <w:pStyle w:val="NormalnyWeb"/>
        <w:spacing w:before="0" w:after="0"/>
        <w:jc w:val="both"/>
        <w:rPr>
          <w:sz w:val="22"/>
          <w:szCs w:val="22"/>
          <w:lang w:val="de-DE"/>
        </w:rPr>
      </w:pPr>
      <w:r>
        <w:rPr>
          <w:sz w:val="22"/>
          <w:szCs w:val="22"/>
          <w:lang w:val="de-DE"/>
        </w:rPr>
        <w:t xml:space="preserve">3) Erklärungen zum Verlauf der Strafvollstreckung abzugeben. </w:t>
      </w:r>
    </w:p>
    <w:p w14:paraId="56353C65" w14:textId="42C78F83" w:rsidR="0019690F" w:rsidRPr="003F4C85" w:rsidRDefault="0019690F" w:rsidP="00E247E5">
      <w:pPr>
        <w:pStyle w:val="NormalnyWeb"/>
        <w:spacing w:before="0" w:after="0"/>
        <w:jc w:val="both"/>
        <w:rPr>
          <w:sz w:val="22"/>
          <w:szCs w:val="22"/>
          <w:lang w:val="de-DE"/>
        </w:rPr>
      </w:pPr>
      <w:r>
        <w:rPr>
          <w:sz w:val="22"/>
          <w:szCs w:val="22"/>
          <w:lang w:val="de-DE"/>
        </w:rPr>
        <w:t xml:space="preserve">Art. 35 § 2 StGB Gegenüber einer beschäftigten Person kann ein Lohnabzug angeordnet werden; </w:t>
      </w:r>
      <w:r>
        <w:rPr>
          <w:b/>
          <w:bCs/>
          <w:sz w:val="22"/>
          <w:szCs w:val="22"/>
          <w:lang w:val="de-DE"/>
        </w:rPr>
        <w:t>für den Zeitraum, für den der Abzug angeordnet wurde, darf der Verurteilte das Arbeitsverhältnis nicht ohne Zustimmung des Gerichts auflösen</w:t>
      </w:r>
      <w:r>
        <w:rPr>
          <w:sz w:val="22"/>
          <w:szCs w:val="22"/>
          <w:lang w:val="de-DE"/>
        </w:rPr>
        <w:t>.</w:t>
      </w:r>
      <w:r>
        <w:rPr>
          <w:b/>
          <w:bCs/>
          <w:sz w:val="22"/>
          <w:szCs w:val="22"/>
          <w:lang w:val="de-DE"/>
        </w:rPr>
        <w:t xml:space="preserve"> </w:t>
      </w:r>
    </w:p>
    <w:p w14:paraId="535AE168" w14:textId="77777777" w:rsidR="0019690F" w:rsidRPr="003F4C85" w:rsidRDefault="0019690F" w:rsidP="00E247E5">
      <w:pPr>
        <w:pStyle w:val="NormalnyWeb"/>
        <w:spacing w:before="0" w:after="0"/>
        <w:jc w:val="both"/>
        <w:rPr>
          <w:sz w:val="22"/>
          <w:szCs w:val="22"/>
          <w:lang w:val="de-DE"/>
        </w:rPr>
      </w:pPr>
      <w:r>
        <w:rPr>
          <w:sz w:val="22"/>
          <w:szCs w:val="22"/>
          <w:lang w:val="de-DE"/>
        </w:rPr>
        <w:t xml:space="preserve">Art. 57a § 2 StVollzG Der Beginn der Vollstreckung der in Art. 34 § 1a Pkt. 4 StGB genannten Strafe erfolgt am ersten Tag des Zeitraums, in dem der Lohnabzug vom Arbeitsentgelt des Verurteilten vorgenommen wird. </w:t>
      </w:r>
    </w:p>
    <w:p w14:paraId="60863024" w14:textId="77777777" w:rsidR="0019690F" w:rsidRPr="003F4C85" w:rsidRDefault="0019690F" w:rsidP="00E247E5">
      <w:pPr>
        <w:pStyle w:val="NormalnyWeb"/>
        <w:spacing w:before="0" w:after="0"/>
        <w:jc w:val="both"/>
        <w:rPr>
          <w:sz w:val="22"/>
          <w:szCs w:val="22"/>
          <w:lang w:val="de-DE"/>
        </w:rPr>
      </w:pPr>
      <w:r>
        <w:rPr>
          <w:sz w:val="22"/>
          <w:szCs w:val="22"/>
          <w:lang w:val="de-DE"/>
        </w:rPr>
        <w:t>Art. 60 StVollzG Das Gericht sowie der hauptamtliche Bewährungshelfer können vom Verurteilten jederzeit Erklärungen zum Verlauf der Vollstreckung der Freiheitsbeschränkung verlangen und den Verurteilten zu diesem Zweck zum persönlichen Erscheinen vorladen.</w:t>
      </w:r>
    </w:p>
    <w:p w14:paraId="16F1BB5C" w14:textId="77777777" w:rsidR="00595A6C" w:rsidRPr="00FC0310" w:rsidRDefault="00595A6C" w:rsidP="00E247E5">
      <w:pPr>
        <w:jc w:val="center"/>
        <w:rPr>
          <w:b/>
          <w:sz w:val="22"/>
          <w:szCs w:val="22"/>
        </w:rPr>
      </w:pPr>
      <w:r>
        <w:rPr>
          <w:b/>
          <w:bCs/>
          <w:sz w:val="22"/>
          <w:szCs w:val="22"/>
          <w:lang w:val="de-DE"/>
        </w:rPr>
        <w:t>RECHTE</w:t>
      </w:r>
    </w:p>
    <w:p w14:paraId="52AD6993" w14:textId="77777777" w:rsidR="00595A6C" w:rsidRPr="003F4C85" w:rsidRDefault="00595A6C" w:rsidP="00E247E5">
      <w:pPr>
        <w:numPr>
          <w:ilvl w:val="0"/>
          <w:numId w:val="12"/>
        </w:numPr>
        <w:tabs>
          <w:tab w:val="clear" w:pos="1260"/>
          <w:tab w:val="num" w:pos="360"/>
        </w:tabs>
        <w:ind w:left="357" w:hanging="357"/>
        <w:jc w:val="both"/>
        <w:rPr>
          <w:sz w:val="22"/>
          <w:szCs w:val="22"/>
          <w:lang w:val="de-DE"/>
        </w:rPr>
      </w:pPr>
      <w:r>
        <w:rPr>
          <w:sz w:val="22"/>
          <w:szCs w:val="22"/>
          <w:lang w:val="de-DE"/>
        </w:rPr>
        <w:t>Strafen und Nebenstrafen sowie Maßregeln der Besserung und Sicherung werden auf humane Weise unter Achtung der Menschenwürde des Verurteilten vollstreckt; die Anwendung von Folter oder unmenschlicher oder erniedrigender Behandlung und Bestrafung des Verurteilten ist verboten (Art. 4 § 1 StVollzG),</w:t>
      </w:r>
    </w:p>
    <w:p w14:paraId="61B80C3C" w14:textId="77777777" w:rsidR="00595A6C" w:rsidRPr="003F4C85" w:rsidRDefault="008210D2" w:rsidP="00E247E5">
      <w:pPr>
        <w:numPr>
          <w:ilvl w:val="0"/>
          <w:numId w:val="12"/>
        </w:numPr>
        <w:tabs>
          <w:tab w:val="clear" w:pos="1260"/>
          <w:tab w:val="num" w:pos="360"/>
        </w:tabs>
        <w:ind w:left="357" w:hanging="357"/>
        <w:jc w:val="both"/>
        <w:rPr>
          <w:sz w:val="22"/>
          <w:szCs w:val="22"/>
          <w:lang w:val="de-DE"/>
        </w:rPr>
      </w:pPr>
      <w:r>
        <w:rPr>
          <w:sz w:val="22"/>
          <w:szCs w:val="22"/>
          <w:lang w:val="de-DE"/>
        </w:rPr>
        <w:t>Der Verurteilte behält seine Bürgerrechte und Freiheiten; deren Einschränkung darf sich nur aus dem Gesetz sowie aus einer auf dessen Grundlage ergangenen rechtskräftigen Entscheidung ergeben (Art. 4 § 2 StVollzG),</w:t>
      </w:r>
    </w:p>
    <w:p w14:paraId="6CBA3FD9" w14:textId="77777777" w:rsidR="00595A6C" w:rsidRPr="003F4C85" w:rsidRDefault="008210D2" w:rsidP="00E247E5">
      <w:pPr>
        <w:numPr>
          <w:ilvl w:val="0"/>
          <w:numId w:val="12"/>
        </w:numPr>
        <w:tabs>
          <w:tab w:val="clear" w:pos="1260"/>
          <w:tab w:val="num" w:pos="360"/>
        </w:tabs>
        <w:ind w:left="357" w:hanging="357"/>
        <w:jc w:val="both"/>
        <w:rPr>
          <w:sz w:val="22"/>
          <w:szCs w:val="22"/>
          <w:lang w:val="de-DE"/>
        </w:rPr>
      </w:pPr>
      <w:r>
        <w:rPr>
          <w:sz w:val="22"/>
          <w:szCs w:val="22"/>
          <w:lang w:val="de-DE"/>
        </w:rPr>
        <w:t>Der Verurteilte kann Anträge auf Einleitung eines gerichtlichen Verfahrens stellen und an diesem als Partei teilnehmen, sowie Beschwerde gegen im Vollstreckungsverfahren ergangene Beschlüsse einlegen, sofern im Gesetz nichts anderes bestimmt ist (Art. 6 § 1 StVollzG),</w:t>
      </w:r>
    </w:p>
    <w:p w14:paraId="403050CF" w14:textId="77777777" w:rsidR="00595A6C" w:rsidRPr="003F4C85" w:rsidRDefault="008210D2" w:rsidP="00E247E5">
      <w:pPr>
        <w:numPr>
          <w:ilvl w:val="0"/>
          <w:numId w:val="12"/>
        </w:numPr>
        <w:tabs>
          <w:tab w:val="clear" w:pos="1260"/>
          <w:tab w:val="num" w:pos="360"/>
        </w:tabs>
        <w:ind w:left="357" w:hanging="357"/>
        <w:jc w:val="both"/>
        <w:rPr>
          <w:i/>
          <w:iCs/>
          <w:sz w:val="22"/>
          <w:szCs w:val="22"/>
          <w:lang w:val="de-DE"/>
        </w:rPr>
      </w:pPr>
      <w:r>
        <w:rPr>
          <w:sz w:val="22"/>
          <w:szCs w:val="22"/>
          <w:lang w:val="de-DE"/>
        </w:rPr>
        <w:t>Der Verurteilte kann Anträge, Beschwerden und Gesuche an die Organe richten, die die Entscheidung vollstrecken. Bei der Einreichung eines Antrags, einer Beschwerde oder eines Gesuchs ist der Verurteilte verpflichtet, die darin enthaltenen Forderungen so weit zu begründen, dass eine Prüfung möglich ist, insbesondere durch Beifügung entsprechender Unterlagen (Art. 6 § 2 StVollzG).</w:t>
      </w:r>
    </w:p>
    <w:p w14:paraId="1898DB1C" w14:textId="0FE7B56E" w:rsidR="00595A6C" w:rsidRPr="003F4C85" w:rsidRDefault="008210D2" w:rsidP="00E247E5">
      <w:pPr>
        <w:numPr>
          <w:ilvl w:val="0"/>
          <w:numId w:val="12"/>
        </w:numPr>
        <w:tabs>
          <w:tab w:val="clear" w:pos="1260"/>
          <w:tab w:val="num" w:pos="360"/>
        </w:tabs>
        <w:ind w:left="357" w:hanging="357"/>
        <w:jc w:val="both"/>
        <w:rPr>
          <w:sz w:val="22"/>
          <w:szCs w:val="22"/>
          <w:lang w:val="de-DE"/>
        </w:rPr>
      </w:pPr>
      <w:r>
        <w:rPr>
          <w:sz w:val="22"/>
          <w:szCs w:val="22"/>
          <w:lang w:val="de-DE"/>
        </w:rPr>
        <w:t>Der Verurteilte kann gegen die Entscheidung des Gerichtspräsidenten, eines befugten Richters, eines hauptberuflichen Bewährungshelfers oder eines Leiters des Bewährungshilfedienstes wegen deren Rechtswidrigkeit Beschwerde beim Gericht einlegen, sofern das Gesetz nichts anderes bestimmt (Art. 7 § 1 StVollzG).</w:t>
      </w:r>
    </w:p>
    <w:p w14:paraId="4727EF76" w14:textId="77777777" w:rsidR="008A4984" w:rsidRPr="003F4C85" w:rsidRDefault="008A4984" w:rsidP="00E247E5">
      <w:pPr>
        <w:numPr>
          <w:ilvl w:val="0"/>
          <w:numId w:val="12"/>
        </w:numPr>
        <w:tabs>
          <w:tab w:val="clear" w:pos="1260"/>
          <w:tab w:val="num" w:pos="360"/>
        </w:tabs>
        <w:ind w:left="357" w:hanging="357"/>
        <w:jc w:val="both"/>
        <w:rPr>
          <w:sz w:val="22"/>
          <w:szCs w:val="22"/>
          <w:lang w:val="de-DE"/>
        </w:rPr>
      </w:pPr>
    </w:p>
    <w:p w14:paraId="3B1A86B5" w14:textId="77777777" w:rsidR="00595A6C" w:rsidRPr="003F4C85" w:rsidRDefault="00FC0310" w:rsidP="00E247E5">
      <w:pPr>
        <w:pStyle w:val="NormalnyWeb"/>
        <w:spacing w:before="0" w:after="0"/>
        <w:jc w:val="center"/>
        <w:rPr>
          <w:b/>
          <w:sz w:val="22"/>
          <w:szCs w:val="22"/>
          <w:lang w:val="de-DE"/>
        </w:rPr>
      </w:pPr>
      <w:r>
        <w:rPr>
          <w:b/>
          <w:bCs/>
          <w:sz w:val="22"/>
          <w:szCs w:val="22"/>
          <w:lang w:val="de-DE"/>
        </w:rPr>
        <w:t xml:space="preserve">GRUNDSÄTZE FÜR DIE VOLLSTRECKUNG DER FREIHEITSBESCHRÄNKUNG </w:t>
      </w:r>
    </w:p>
    <w:p w14:paraId="03AE96D0" w14:textId="2E6632CE" w:rsidR="00595A6C" w:rsidRPr="003F4C85" w:rsidRDefault="00595A6C" w:rsidP="00E247E5">
      <w:pPr>
        <w:jc w:val="both"/>
        <w:rPr>
          <w:sz w:val="22"/>
          <w:szCs w:val="22"/>
          <w:lang w:val="de-DE"/>
        </w:rPr>
      </w:pPr>
      <w:r>
        <w:rPr>
          <w:sz w:val="22"/>
          <w:szCs w:val="22"/>
          <w:lang w:val="de-DE"/>
        </w:rPr>
        <w:t>Art. 57 § 2 StVollzG Erscheint der Verurteilte nicht auf Vorladung oder erklärt er gegenüber dem hauptamtlichen Bewährungshelfer – nachdem er über seine Rechte, Pflichten und die Folgen im Zusammenhang mit der Ableistung unentgeltlicher, kontrollierter gemeinnütziger Arbeit belehrt wurde –, dass er nicht bereit ist, die Arbeit aufzunehmen, stellt der Bewährungshelfer beim Gericht einen Antrag auf Verhängung einer Ersatzstrafe.</w:t>
      </w:r>
    </w:p>
    <w:p w14:paraId="5BDC60DC" w14:textId="77777777" w:rsidR="00FC0310" w:rsidRPr="003F4C85" w:rsidRDefault="00595A6C" w:rsidP="00E247E5">
      <w:pPr>
        <w:pStyle w:val="NormalnyWeb"/>
        <w:spacing w:before="0" w:after="0"/>
        <w:jc w:val="both"/>
        <w:rPr>
          <w:sz w:val="22"/>
          <w:szCs w:val="22"/>
          <w:lang w:val="de-DE"/>
        </w:rPr>
      </w:pPr>
      <w:r>
        <w:rPr>
          <w:sz w:val="22"/>
          <w:szCs w:val="22"/>
          <w:lang w:val="de-DE"/>
        </w:rPr>
        <w:t>§ 3 die Vorschrift des § 2 findet entsprechende Anwendung, wenn der Verurteilte die Arbeit nicht fristgerecht aufnimmt oder sich auf andere Weise der Vollstreckung der Freiheitsbeschränkung oder den ihm obliegenden Pflichten entzieht.</w:t>
      </w:r>
    </w:p>
    <w:p w14:paraId="307CB3B6" w14:textId="77777777" w:rsidR="00595A6C" w:rsidRPr="003F4C85" w:rsidRDefault="00595A6C" w:rsidP="00E247E5">
      <w:pPr>
        <w:pStyle w:val="NormalnyWeb"/>
        <w:spacing w:before="0" w:after="0"/>
        <w:jc w:val="both"/>
        <w:rPr>
          <w:sz w:val="22"/>
          <w:szCs w:val="22"/>
          <w:u w:val="single"/>
          <w:lang w:val="de-DE"/>
        </w:rPr>
      </w:pPr>
      <w:r>
        <w:rPr>
          <w:sz w:val="22"/>
          <w:szCs w:val="22"/>
          <w:lang w:val="de-DE"/>
        </w:rPr>
        <w:t>Art. 61 § 1 StVollzG Sprechen erzieherische Gründe dafür, kann das Gericht während der Vollstreckung der Freiheitsbeschränkung die in Art. 34 § 1a Pkt. 3 des Strafgesetzbuchs genannten Pflichten festlegen, erweitern oder ändern oder von der Erfüllung dieser Pflichten befreien, es sei denn, es wurde nur eine einzige Pflicht angeordnet.</w:t>
      </w:r>
    </w:p>
    <w:p w14:paraId="3B071426" w14:textId="77777777" w:rsidR="00595A6C" w:rsidRPr="003F4C85" w:rsidRDefault="00595A6C" w:rsidP="00E247E5">
      <w:pPr>
        <w:pStyle w:val="NormalnyWeb"/>
        <w:spacing w:before="0" w:after="0"/>
        <w:jc w:val="both"/>
        <w:rPr>
          <w:sz w:val="22"/>
          <w:szCs w:val="22"/>
          <w:lang w:val="de-DE"/>
        </w:rPr>
      </w:pPr>
      <w:r>
        <w:rPr>
          <w:sz w:val="22"/>
          <w:szCs w:val="22"/>
          <w:lang w:val="de-DE"/>
        </w:rPr>
        <w:t>§ 2 Aus denselben Gründen kann das Gericht die monatlich angeordnete Anzahl der zu leistenden Arbeitsstunden oder die Höhe der monatlichen Lohnabzüge verringern, jedoch nicht über die Grenze des gesetzlichen Minimums hinaus, das in Art. 34 § 1a Pkt. 4 und Art. 35 § 1 des Strafgesetzbuchs festgelegt ist.</w:t>
      </w:r>
    </w:p>
    <w:p w14:paraId="199CD724" w14:textId="77777777" w:rsidR="00595A6C" w:rsidRPr="003F4C85" w:rsidRDefault="00595A6C" w:rsidP="00E247E5">
      <w:pPr>
        <w:pStyle w:val="NormalnyWeb"/>
        <w:spacing w:before="0" w:after="0"/>
        <w:jc w:val="both"/>
        <w:rPr>
          <w:sz w:val="22"/>
          <w:szCs w:val="22"/>
          <w:lang w:val="de-DE"/>
        </w:rPr>
      </w:pPr>
      <w:r>
        <w:rPr>
          <w:sz w:val="22"/>
          <w:szCs w:val="22"/>
          <w:lang w:val="de-DE"/>
        </w:rPr>
        <w:t>Art. 62 § 1 StVollzG Das Gericht kann die Vollstreckung der Freiheitsbeschränkung für eine Dauer von bis zu 6 Monaten aufschieben, wenn die sofortige Vollstreckung der Strafe für den Verurteilten oder seine Familie allzu schwere Folgen nach sich ziehen würde.</w:t>
      </w:r>
    </w:p>
    <w:p w14:paraId="30F631AF" w14:textId="77777777" w:rsidR="00595A6C" w:rsidRPr="003F4C85" w:rsidRDefault="00595A6C" w:rsidP="00E247E5">
      <w:pPr>
        <w:pStyle w:val="NormalnyWeb"/>
        <w:spacing w:before="0" w:after="0"/>
        <w:jc w:val="both"/>
        <w:rPr>
          <w:sz w:val="22"/>
          <w:szCs w:val="22"/>
          <w:lang w:val="de-DE"/>
        </w:rPr>
      </w:pPr>
      <w:r>
        <w:rPr>
          <w:sz w:val="22"/>
          <w:szCs w:val="22"/>
          <w:lang w:val="de-DE"/>
        </w:rPr>
        <w:t>§ 2. Das Gericht schiebt die Vollstreckung der Freiheitsbeschränkung im Falle der Einberufung des Verurteilten zum aktiven Wehrdienst bis zum Abschluss dieses Dienstes auf. Gegenüber einem solchen Verurteilten</w:t>
      </w:r>
      <w:r>
        <w:rPr>
          <w:szCs w:val="24"/>
          <w:lang w:val="de-DE"/>
        </w:rPr>
        <w:t xml:space="preserve"> kann das Gericht die Bestimmungen des Art. 336 § 3 und 4 des Strafgesetzbuchs entsprechend anwenden.</w:t>
      </w:r>
    </w:p>
    <w:p w14:paraId="6FDCC37D" w14:textId="77777777" w:rsidR="00595A6C" w:rsidRPr="003F4C85" w:rsidRDefault="00595A6C" w:rsidP="00E247E5">
      <w:pPr>
        <w:pStyle w:val="NormalnyWeb"/>
        <w:spacing w:before="0" w:after="0"/>
        <w:jc w:val="both"/>
        <w:rPr>
          <w:sz w:val="22"/>
          <w:szCs w:val="22"/>
          <w:lang w:val="de-DE"/>
        </w:rPr>
      </w:pPr>
      <w:r>
        <w:rPr>
          <w:sz w:val="22"/>
          <w:szCs w:val="22"/>
          <w:lang w:val="de-DE"/>
        </w:rPr>
        <w:t>§ 3. Das Gericht kann den Aufschub der Vollstreckung der Freiheitsbeschränkung widerrufen, wenn der Grund, aus dem er gewährt wurde, entfallen ist oder falls der Verurteilte den Aufschub der Strafe nicht zweckentsprechend nutzt oder die Rechtsordnung gröblich verletzt.</w:t>
      </w:r>
    </w:p>
    <w:p w14:paraId="0344861A" w14:textId="77777777" w:rsidR="00595A6C" w:rsidRPr="003F4C85" w:rsidRDefault="00595A6C" w:rsidP="00E247E5">
      <w:pPr>
        <w:pStyle w:val="NormalnyWeb"/>
        <w:spacing w:before="0" w:after="0"/>
        <w:jc w:val="both"/>
        <w:rPr>
          <w:sz w:val="22"/>
          <w:szCs w:val="22"/>
          <w:lang w:val="de-DE"/>
        </w:rPr>
      </w:pPr>
      <w:r>
        <w:rPr>
          <w:sz w:val="22"/>
          <w:szCs w:val="22"/>
          <w:lang w:val="de-DE"/>
        </w:rPr>
        <w:t>Art. 63 § 1 StVollzG Ermöglicht der Gesundheitszustand des Verurteilten die Vollstreckung der Freiheitsbeschränkung nicht, gewährt das Gericht eine Unterbrechung der Strafvollstreckung bis zum Wegfall des Hindernisses.</w:t>
      </w:r>
    </w:p>
    <w:p w14:paraId="76D9584D" w14:textId="77777777" w:rsidR="00595A6C" w:rsidRPr="003F4C85" w:rsidRDefault="00595A6C" w:rsidP="00E247E5">
      <w:pPr>
        <w:pStyle w:val="NormalnyWeb"/>
        <w:spacing w:before="0" w:after="0"/>
        <w:jc w:val="both"/>
        <w:rPr>
          <w:sz w:val="22"/>
          <w:szCs w:val="22"/>
          <w:lang w:val="de-DE"/>
        </w:rPr>
      </w:pPr>
      <w:r>
        <w:rPr>
          <w:sz w:val="22"/>
          <w:szCs w:val="22"/>
          <w:lang w:val="de-DE"/>
        </w:rPr>
        <w:t>§ 2. Das Gericht kann eine Unterbrechung der Vollstreckung der Freiheitsbeschränkung bis zu einem Jahr aus den in Art. 62 § 1 StVollzG genannten Gründen gewähren.</w:t>
      </w:r>
    </w:p>
    <w:p w14:paraId="0B1D7F69" w14:textId="77777777" w:rsidR="00595A6C" w:rsidRPr="003F4C85" w:rsidRDefault="00595A6C" w:rsidP="00E247E5">
      <w:pPr>
        <w:pStyle w:val="NormalnyWeb"/>
        <w:spacing w:before="0" w:after="0"/>
        <w:jc w:val="both"/>
        <w:rPr>
          <w:bCs/>
          <w:iCs/>
          <w:sz w:val="22"/>
          <w:szCs w:val="22"/>
          <w:lang w:val="de-DE"/>
        </w:rPr>
      </w:pPr>
      <w:r>
        <w:rPr>
          <w:sz w:val="22"/>
          <w:szCs w:val="22"/>
          <w:lang w:val="de-DE"/>
        </w:rPr>
        <w:t>Art. 65 § 1 StVollzG Entzieht sich der Verurteilte der Ableistung der Freiheitsbeschränkung, ordnet das Gericht die Vollstreckung einer Ersatzfreiheitsstrafe an; entzieht er sich der Geldleistung oder den auf Grundlage von Art. 34 § 3 des Strafgesetzbuchs angeordneten Pflichten, kann das Gericht die Vollstreckung einer Ersatzfreiheitsstrafe anordnen. Hat der Verurteilte einen Teil der Freiheitsbeschränkung bereits abgeleistet, ordnet das Gericht die Vollstreckung der Ersatzfreiheitsstrafe in einem Maß an, das dem noch verbleibenden Teil der Freiheitsbeschränkung entspricht, wobei davon auszugehen ist, dass ein Tag Ersatzfreiheitsstrafe zwei Tagen Freiheitsbeschränkung entspricht.</w:t>
      </w:r>
    </w:p>
    <w:p w14:paraId="05AD85E3" w14:textId="77777777" w:rsidR="00595A6C" w:rsidRPr="003F4C85" w:rsidRDefault="00595A6C" w:rsidP="00E247E5">
      <w:pPr>
        <w:pStyle w:val="NormalnyWeb"/>
        <w:spacing w:before="0" w:after="0"/>
        <w:jc w:val="both"/>
        <w:rPr>
          <w:bCs/>
          <w:iCs/>
          <w:sz w:val="22"/>
          <w:szCs w:val="22"/>
          <w:lang w:val="de-DE"/>
        </w:rPr>
      </w:pPr>
      <w:r>
        <w:rPr>
          <w:sz w:val="22"/>
          <w:szCs w:val="22"/>
          <w:lang w:val="de-DE"/>
        </w:rPr>
        <w:t xml:space="preserve">Art. 75a § 4 StGB Die auf Grundlage von Art. 75a § 1 erfolgte Umwandlung einer zur Bewährung ausgesetzten Freiheitsstrafe in eine Freiheitsbeschränkung oder in eine Geldstrafe entbindet den Verurteilten nicht von der Erfüllung der gegen ihn angeordneten Nebenstrafen, Einziehungen, Kompensationsmaßnahmen oder Maßregeln der Besserung und Sicherung, selbst wenn nachträglich eine Gesamtstrafe gebildet wurde. </w:t>
      </w:r>
    </w:p>
    <w:p w14:paraId="6CF6056B" w14:textId="77777777" w:rsidR="00595A6C" w:rsidRPr="003F4C85" w:rsidRDefault="00595A6C" w:rsidP="00E247E5">
      <w:pPr>
        <w:pStyle w:val="NormalnyWeb"/>
        <w:spacing w:before="0" w:after="0"/>
        <w:jc w:val="both"/>
        <w:rPr>
          <w:bCs/>
          <w:iCs/>
          <w:sz w:val="22"/>
          <w:szCs w:val="22"/>
          <w:lang w:val="de-DE"/>
        </w:rPr>
      </w:pPr>
      <w:r>
        <w:rPr>
          <w:sz w:val="22"/>
          <w:szCs w:val="22"/>
          <w:lang w:val="de-DE"/>
        </w:rPr>
        <w:t>§ 5. Entzieht sich der Verurteilte der Ableistung der Freiheitsbeschränkung, der Zahlung der Geldstrafe, der Erfüllung der ihm auferlegten Pflichten oder der angeordneten Nebenstrafen, Einziehungen oder Kompensationsmaßnahmen, hebt das Gericht die Umwandlung auf und ordnet die Vollstreckung der Freiheitsstrafe an.</w:t>
      </w:r>
    </w:p>
    <w:p w14:paraId="353ABD4D" w14:textId="77777777" w:rsidR="00595A6C" w:rsidRPr="003F4C85" w:rsidRDefault="00595A6C" w:rsidP="00E247E5">
      <w:pPr>
        <w:pStyle w:val="NormalnyWeb"/>
        <w:spacing w:before="0" w:after="0"/>
        <w:jc w:val="both"/>
        <w:rPr>
          <w:sz w:val="22"/>
          <w:szCs w:val="22"/>
          <w:lang w:val="de-DE"/>
        </w:rPr>
      </w:pPr>
      <w:r>
        <w:rPr>
          <w:sz w:val="22"/>
          <w:szCs w:val="22"/>
          <w:lang w:val="de-DE"/>
        </w:rPr>
        <w:t>Art. 83 StGB Einen zu einer Freiheitsbeschränkung Verurteilten, der mindestens die Hälfte der angeordneten Strafe abgeleistet, die Rechtsordnung eingehalten sowie die ihm auferlegten Pflichten, angeordneten Nebenstrafen, Kompensationsmaßnahmen und Einziehungen erfüllt hat, kann das Gericht von der Reststrafe befreien und diese als vollstreckt ansehen.</w:t>
      </w:r>
    </w:p>
    <w:p w14:paraId="297D0E50" w14:textId="77777777" w:rsidR="00595A6C" w:rsidRPr="003F4C85" w:rsidRDefault="00595A6C" w:rsidP="00E247E5">
      <w:pPr>
        <w:jc w:val="both"/>
        <w:rPr>
          <w:sz w:val="22"/>
          <w:szCs w:val="22"/>
          <w:lang w:val="de-DE"/>
        </w:rPr>
      </w:pPr>
      <w:r>
        <w:rPr>
          <w:sz w:val="22"/>
          <w:szCs w:val="22"/>
          <w:lang w:val="de-DE"/>
        </w:rPr>
        <w:t>Ich erkläre hiermit, dass die vorliegende Belehrung durch den Bewährungshelfer mit mir besprochen wurde und ich diese vollständig verstanden habe. Ich kenne meine Pflichten und Rechte und habe die Vorschriften über die Vollstreckung der Freiheitsbeschränkung zur Kenntnis genommen.</w:t>
      </w:r>
    </w:p>
    <w:p w14:paraId="3D9AD6A6" w14:textId="77777777" w:rsidR="00595A6C" w:rsidRPr="003F4C85" w:rsidRDefault="008210D2" w:rsidP="00E247E5">
      <w:pPr>
        <w:rPr>
          <w:color w:val="000000"/>
          <w:spacing w:val="-5"/>
          <w:sz w:val="20"/>
          <w:lang w:val="de-DE"/>
        </w:rPr>
      </w:pPr>
      <w:bookmarkStart w:id="0" w:name="zakl_t"/>
      <w:r>
        <w:rPr>
          <w:color w:val="000000"/>
          <w:sz w:val="20"/>
          <w:lang w:val="de-DE"/>
        </w:rPr>
        <w:t>Ich erinnere Sie daran, dass Ihnen für die Dauer der Strafvollstreckung Pflichten auferlegt wurden, deren Erfüllung die Bewertung des Verlaufs der Strafvollstreckung beeinflusst:</w:t>
      </w:r>
    </w:p>
    <w:p w14:paraId="59214BA5" w14:textId="417B294F" w:rsidR="007F4AAC" w:rsidRPr="003F4C85" w:rsidRDefault="007F4AAC" w:rsidP="00EA3B7A">
      <w:pPr>
        <w:pStyle w:val="Tre"/>
        <w:spacing w:line="276" w:lineRule="auto"/>
        <w:rPr>
          <w:sz w:val="20"/>
          <w:szCs w:val="20"/>
          <w:lang w:val="de-DE"/>
        </w:rPr>
      </w:pPr>
      <w:bookmarkStart w:id="1" w:name="zakl_p"/>
      <w:bookmarkStart w:id="2" w:name="usun_p"/>
      <w:bookmarkEnd w:id="0"/>
    </w:p>
    <w:bookmarkEnd w:id="1"/>
    <w:p w14:paraId="6D5FECEE" w14:textId="77777777" w:rsidR="00595A6C" w:rsidRPr="003F4C85" w:rsidRDefault="00595A6C" w:rsidP="00EA3B7A">
      <w:pPr>
        <w:spacing w:line="276" w:lineRule="auto"/>
        <w:jc w:val="both"/>
        <w:rPr>
          <w:sz w:val="20"/>
          <w:lang w:val="de-DE"/>
        </w:rPr>
      </w:pPr>
    </w:p>
    <w:tbl>
      <w:tblPr>
        <w:tblW w:w="0" w:type="auto"/>
        <w:tblInd w:w="5353" w:type="dxa"/>
        <w:tblLook w:val="01E0" w:firstRow="1" w:lastRow="1" w:firstColumn="1" w:lastColumn="1" w:noHBand="0" w:noVBand="0"/>
      </w:tblPr>
      <w:tblGrid>
        <w:gridCol w:w="1418"/>
        <w:gridCol w:w="2877"/>
      </w:tblGrid>
      <w:tr w:rsidR="00595A6C" w:rsidRPr="003F4C85" w14:paraId="6F9CD024" w14:textId="77777777" w:rsidTr="00A67972">
        <w:tc>
          <w:tcPr>
            <w:tcW w:w="1418" w:type="dxa"/>
            <w:vAlign w:val="bottom"/>
          </w:tcPr>
          <w:bookmarkEnd w:id="2"/>
          <w:p w14:paraId="14114732" w14:textId="77777777" w:rsidR="00595A6C" w:rsidRDefault="00595A6C" w:rsidP="00EA3B7A">
            <w:pPr>
              <w:spacing w:line="276" w:lineRule="auto"/>
              <w:jc w:val="center"/>
              <w:rPr>
                <w:sz w:val="20"/>
              </w:rPr>
            </w:pPr>
            <w:r>
              <w:rPr>
                <w:sz w:val="16"/>
                <w:lang w:val="de-DE"/>
              </w:rPr>
              <w:t>(Datum)</w:t>
            </w:r>
          </w:p>
        </w:tc>
        <w:tc>
          <w:tcPr>
            <w:tcW w:w="2877" w:type="dxa"/>
            <w:vAlign w:val="bottom"/>
          </w:tcPr>
          <w:p w14:paraId="75E50FD2" w14:textId="77777777" w:rsidR="00595A6C" w:rsidRPr="003F4C85" w:rsidRDefault="00595A6C" w:rsidP="00EA3B7A">
            <w:pPr>
              <w:spacing w:line="276" w:lineRule="auto"/>
              <w:jc w:val="center"/>
              <w:rPr>
                <w:sz w:val="20"/>
                <w:lang w:val="de-DE"/>
              </w:rPr>
            </w:pPr>
            <w:r>
              <w:rPr>
                <w:sz w:val="16"/>
                <w:lang w:val="de-DE"/>
              </w:rPr>
              <w:t>(Vor- und Nachname des Verurteilten)</w:t>
            </w:r>
          </w:p>
        </w:tc>
      </w:tr>
    </w:tbl>
    <w:p w14:paraId="6DE9E1CC" w14:textId="77777777" w:rsidR="00595A6C" w:rsidRPr="003F4C85" w:rsidRDefault="00595A6C" w:rsidP="00EA3B7A">
      <w:pPr>
        <w:spacing w:line="276" w:lineRule="auto"/>
        <w:rPr>
          <w:sz w:val="16"/>
          <w:lang w:val="de-DE"/>
        </w:rPr>
      </w:pPr>
    </w:p>
    <w:p w14:paraId="627F1B0C" w14:textId="592CEB7A" w:rsidR="00595A6C" w:rsidRPr="003F4C85" w:rsidRDefault="00595A6C" w:rsidP="007D19F2">
      <w:pPr>
        <w:spacing w:line="276" w:lineRule="auto"/>
        <w:rPr>
          <w:sz w:val="14"/>
          <w:szCs w:val="14"/>
          <w:lang w:val="de-DE"/>
        </w:rPr>
      </w:pPr>
      <w:r>
        <w:rPr>
          <w:sz w:val="20"/>
          <w:u w:val="single"/>
          <w:lang w:val="de-DE"/>
        </w:rPr>
        <w:t>Ausgefertigt in zwei Ausfertigungen für:</w:t>
      </w:r>
    </w:p>
    <w:p w14:paraId="413D84A2" w14:textId="77777777" w:rsidR="00595A6C" w:rsidRPr="003F4C85" w:rsidRDefault="00595A6C" w:rsidP="00EA3B7A">
      <w:pPr>
        <w:spacing w:line="276" w:lineRule="auto"/>
        <w:jc w:val="both"/>
        <w:rPr>
          <w:sz w:val="16"/>
          <w:lang w:val="de-DE"/>
        </w:rPr>
      </w:pPr>
      <w:r>
        <w:rPr>
          <w:sz w:val="16"/>
          <w:lang w:val="de-DE"/>
        </w:rPr>
        <w:t>- 1 unterzeichnete Ausfertigung für den Verurteilten;</w:t>
      </w:r>
    </w:p>
    <w:p w14:paraId="70161C8E" w14:textId="77777777" w:rsidR="00E7306A" w:rsidRPr="003F4C85" w:rsidRDefault="00595A6C" w:rsidP="00EA3B7A">
      <w:pPr>
        <w:spacing w:line="276" w:lineRule="auto"/>
        <w:rPr>
          <w:sz w:val="16"/>
          <w:lang w:val="de-DE"/>
        </w:rPr>
      </w:pPr>
      <w:r>
        <w:rPr>
          <w:sz w:val="16"/>
          <w:lang w:val="de-DE"/>
        </w:rPr>
        <w:t xml:space="preserve">- 1 unterzeichnete Ausfertigung zur Akte </w:t>
      </w:r>
      <w:proofErr w:type="spellStart"/>
      <w:r>
        <w:rPr>
          <w:sz w:val="16"/>
          <w:lang w:val="de-DE"/>
        </w:rPr>
        <w:t>Kkow</w:t>
      </w:r>
      <w:proofErr w:type="spellEnd"/>
      <w:r>
        <w:rPr>
          <w:sz w:val="16"/>
          <w:lang w:val="de-DE"/>
        </w:rPr>
        <w:t>.</w:t>
      </w:r>
    </w:p>
    <w:sectPr w:rsidR="00E7306A" w:rsidRPr="003F4C85" w:rsidSect="003264AB">
      <w:headerReference w:type="default" r:id="rId7"/>
      <w:footerReference w:type="default" r:id="rId8"/>
      <w:pgSz w:w="11907" w:h="16840" w:code="9"/>
      <w:pgMar w:top="709" w:right="851" w:bottom="709" w:left="1134" w:header="0" w:footer="8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185800" w14:textId="77777777" w:rsidR="008A4416" w:rsidRDefault="008A4416">
      <w:r>
        <w:separator/>
      </w:r>
    </w:p>
  </w:endnote>
  <w:endnote w:type="continuationSeparator" w:id="0">
    <w:p w14:paraId="5DBB2469" w14:textId="77777777" w:rsidR="008A4416" w:rsidRDefault="008A44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 w:name="BarCode3of9">
    <w:charset w:val="00"/>
    <w:family w:val="auto"/>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30020375"/>
      <w:docPartObj>
        <w:docPartGallery w:val="Page Numbers (Bottom of Page)"/>
        <w:docPartUnique/>
      </w:docPartObj>
    </w:sdtPr>
    <w:sdtEndPr/>
    <w:sdtContent>
      <w:p w14:paraId="767E44AE" w14:textId="40D45223" w:rsidR="00E247E5" w:rsidRDefault="00E247E5">
        <w:pPr>
          <w:pStyle w:val="Stopka"/>
          <w:jc w:val="center"/>
        </w:pPr>
        <w:r>
          <w:rPr>
            <w:lang w:val="de-DE"/>
          </w:rPr>
          <w:fldChar w:fldCharType="begin"/>
        </w:r>
        <w:r>
          <w:rPr>
            <w:lang w:val="de-DE"/>
          </w:rPr>
          <w:instrText>PAGE   \* MERGEFORMAT</w:instrText>
        </w:r>
        <w:r>
          <w:rPr>
            <w:lang w:val="de-DE"/>
          </w:rPr>
          <w:fldChar w:fldCharType="separate"/>
        </w:r>
        <w:r>
          <w:rPr>
            <w:lang w:val="de-DE"/>
          </w:rPr>
          <w:t>2</w:t>
        </w:r>
        <w:r>
          <w:rPr>
            <w:lang w:val="de-DE"/>
          </w:rPr>
          <w:fldChar w:fldCharType="end"/>
        </w:r>
      </w:p>
    </w:sdtContent>
  </w:sdt>
  <w:p w14:paraId="6D1A8334" w14:textId="77777777" w:rsidR="009F4C94" w:rsidRDefault="009F4C94">
    <w:pPr>
      <w:tabs>
        <w:tab w:val="left" w:pos="3600"/>
        <w:tab w:val="right" w:pos="7200"/>
      </w:tabs>
      <w:spacing w:before="60"/>
      <w:rPr>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83C317" w14:textId="77777777" w:rsidR="008A4416" w:rsidRDefault="008A4416">
      <w:r>
        <w:separator/>
      </w:r>
    </w:p>
  </w:footnote>
  <w:footnote w:type="continuationSeparator" w:id="0">
    <w:p w14:paraId="470BA04C" w14:textId="77777777" w:rsidR="008A4416" w:rsidRDefault="008A44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CD0AE1" w14:textId="77777777" w:rsidR="009F4C94" w:rsidRDefault="009F4C94">
    <w:pPr>
      <w:pStyle w:val="Nagwek"/>
      <w:tabs>
        <w:tab w:val="clear" w:pos="453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CF268806"/>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01024E17"/>
    <w:multiLevelType w:val="hybridMultilevel"/>
    <w:tmpl w:val="19F4095E"/>
    <w:lvl w:ilvl="0" w:tplc="0415000F">
      <w:start w:val="1"/>
      <w:numFmt w:val="decimal"/>
      <w:lvlText w:val="%1."/>
      <w:lvlJc w:val="left"/>
      <w:pPr>
        <w:tabs>
          <w:tab w:val="num" w:pos="360"/>
        </w:tabs>
        <w:ind w:left="36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 w15:restartNumberingAfterBreak="0">
    <w:nsid w:val="06341A9C"/>
    <w:multiLevelType w:val="hybridMultilevel"/>
    <w:tmpl w:val="16921F68"/>
    <w:lvl w:ilvl="0" w:tplc="0E0888BC">
      <w:start w:val="1"/>
      <w:numFmt w:val="bullet"/>
      <w:lvlText w:val="-"/>
      <w:lvlJc w:val="left"/>
      <w:pPr>
        <w:tabs>
          <w:tab w:val="num" w:pos="1260"/>
        </w:tabs>
        <w:ind w:left="1260" w:hanging="360"/>
      </w:pPr>
      <w:rPr>
        <w:rFonts w:ascii="Garamond" w:hAnsi="Garamond"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33B7E01"/>
    <w:multiLevelType w:val="hybridMultilevel"/>
    <w:tmpl w:val="1A50B9DC"/>
    <w:lvl w:ilvl="0" w:tplc="F43A10EC">
      <w:start w:val="1"/>
      <w:numFmt w:val="decimal"/>
      <w:lvlText w:val="%1)"/>
      <w:lvlJc w:val="left"/>
      <w:pPr>
        <w:tabs>
          <w:tab w:val="num" w:pos="360"/>
        </w:tabs>
        <w:ind w:left="360" w:hanging="360"/>
      </w:pPr>
      <w:rPr>
        <w:rFonts w:hint="default"/>
        <w:b w:val="0"/>
      </w:rPr>
    </w:lvl>
    <w:lvl w:ilvl="1" w:tplc="9B7A399E">
      <w:start w:val="1"/>
      <w:numFmt w:val="bullet"/>
      <w:lvlText w:val="-"/>
      <w:lvlJc w:val="left"/>
      <w:pPr>
        <w:tabs>
          <w:tab w:val="num" w:pos="644"/>
        </w:tabs>
        <w:ind w:left="644" w:hanging="284"/>
      </w:pPr>
      <w:rPr>
        <w:rFonts w:ascii="Times New Roman" w:hAnsi="Times New Roman" w:cs="Times New Roman" w:hint="default"/>
        <w:b w:val="0"/>
      </w:rPr>
    </w:lvl>
    <w:lvl w:ilvl="2" w:tplc="0415001B" w:tentative="1">
      <w:start w:val="1"/>
      <w:numFmt w:val="lowerRoman"/>
      <w:lvlText w:val="%3."/>
      <w:lvlJc w:val="right"/>
      <w:pPr>
        <w:tabs>
          <w:tab w:val="num" w:pos="1620"/>
        </w:tabs>
        <w:ind w:left="1620" w:hanging="180"/>
      </w:pPr>
    </w:lvl>
    <w:lvl w:ilvl="3" w:tplc="0415000F" w:tentative="1">
      <w:start w:val="1"/>
      <w:numFmt w:val="decimal"/>
      <w:lvlText w:val="%4."/>
      <w:lvlJc w:val="left"/>
      <w:pPr>
        <w:tabs>
          <w:tab w:val="num" w:pos="2340"/>
        </w:tabs>
        <w:ind w:left="2340" w:hanging="360"/>
      </w:pPr>
    </w:lvl>
    <w:lvl w:ilvl="4" w:tplc="04150019" w:tentative="1">
      <w:start w:val="1"/>
      <w:numFmt w:val="lowerLetter"/>
      <w:lvlText w:val="%5."/>
      <w:lvlJc w:val="left"/>
      <w:pPr>
        <w:tabs>
          <w:tab w:val="num" w:pos="3060"/>
        </w:tabs>
        <w:ind w:left="3060" w:hanging="360"/>
      </w:pPr>
    </w:lvl>
    <w:lvl w:ilvl="5" w:tplc="0415001B" w:tentative="1">
      <w:start w:val="1"/>
      <w:numFmt w:val="lowerRoman"/>
      <w:lvlText w:val="%6."/>
      <w:lvlJc w:val="right"/>
      <w:pPr>
        <w:tabs>
          <w:tab w:val="num" w:pos="3780"/>
        </w:tabs>
        <w:ind w:left="3780" w:hanging="180"/>
      </w:pPr>
    </w:lvl>
    <w:lvl w:ilvl="6" w:tplc="0415000F" w:tentative="1">
      <w:start w:val="1"/>
      <w:numFmt w:val="decimal"/>
      <w:lvlText w:val="%7."/>
      <w:lvlJc w:val="left"/>
      <w:pPr>
        <w:tabs>
          <w:tab w:val="num" w:pos="4500"/>
        </w:tabs>
        <w:ind w:left="4500" w:hanging="360"/>
      </w:pPr>
    </w:lvl>
    <w:lvl w:ilvl="7" w:tplc="04150019" w:tentative="1">
      <w:start w:val="1"/>
      <w:numFmt w:val="lowerLetter"/>
      <w:lvlText w:val="%8."/>
      <w:lvlJc w:val="left"/>
      <w:pPr>
        <w:tabs>
          <w:tab w:val="num" w:pos="5220"/>
        </w:tabs>
        <w:ind w:left="5220" w:hanging="360"/>
      </w:pPr>
    </w:lvl>
    <w:lvl w:ilvl="8" w:tplc="0415001B" w:tentative="1">
      <w:start w:val="1"/>
      <w:numFmt w:val="lowerRoman"/>
      <w:lvlText w:val="%9."/>
      <w:lvlJc w:val="right"/>
      <w:pPr>
        <w:tabs>
          <w:tab w:val="num" w:pos="5940"/>
        </w:tabs>
        <w:ind w:left="5940" w:hanging="180"/>
      </w:pPr>
    </w:lvl>
  </w:abstractNum>
  <w:abstractNum w:abstractNumId="4" w15:restartNumberingAfterBreak="0">
    <w:nsid w:val="1F774FC3"/>
    <w:multiLevelType w:val="hybridMultilevel"/>
    <w:tmpl w:val="82069AA2"/>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15:restartNumberingAfterBreak="0">
    <w:nsid w:val="24A04AE9"/>
    <w:multiLevelType w:val="hybridMultilevel"/>
    <w:tmpl w:val="0748C778"/>
    <w:lvl w:ilvl="0" w:tplc="04150005">
      <w:start w:val="1"/>
      <w:numFmt w:val="bullet"/>
      <w:lvlText w:val=""/>
      <w:lvlJc w:val="left"/>
      <w:pPr>
        <w:tabs>
          <w:tab w:val="num" w:pos="720"/>
        </w:tabs>
        <w:ind w:left="720" w:hanging="360"/>
      </w:pPr>
      <w:rPr>
        <w:rFonts w:ascii="Wingdings" w:hAnsi="Wingdings"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5F6A14"/>
    <w:multiLevelType w:val="hybridMultilevel"/>
    <w:tmpl w:val="9C12E080"/>
    <w:lvl w:ilvl="0" w:tplc="0415000F">
      <w:start w:val="1"/>
      <w:numFmt w:val="decimal"/>
      <w:lvlText w:val="%1."/>
      <w:lvlJc w:val="left"/>
      <w:pPr>
        <w:tabs>
          <w:tab w:val="num" w:pos="1152"/>
        </w:tabs>
        <w:ind w:left="1152" w:hanging="360"/>
      </w:pPr>
    </w:lvl>
    <w:lvl w:ilvl="1" w:tplc="04150019">
      <w:start w:val="1"/>
      <w:numFmt w:val="lowerLetter"/>
      <w:lvlText w:val="%2."/>
      <w:lvlJc w:val="left"/>
      <w:pPr>
        <w:tabs>
          <w:tab w:val="num" w:pos="1872"/>
        </w:tabs>
        <w:ind w:left="1872" w:hanging="360"/>
      </w:pPr>
    </w:lvl>
    <w:lvl w:ilvl="2" w:tplc="0415001B" w:tentative="1">
      <w:start w:val="1"/>
      <w:numFmt w:val="lowerRoman"/>
      <w:lvlText w:val="%3."/>
      <w:lvlJc w:val="right"/>
      <w:pPr>
        <w:tabs>
          <w:tab w:val="num" w:pos="2592"/>
        </w:tabs>
        <w:ind w:left="2592" w:hanging="180"/>
      </w:pPr>
    </w:lvl>
    <w:lvl w:ilvl="3" w:tplc="0415000F" w:tentative="1">
      <w:start w:val="1"/>
      <w:numFmt w:val="decimal"/>
      <w:lvlText w:val="%4."/>
      <w:lvlJc w:val="left"/>
      <w:pPr>
        <w:tabs>
          <w:tab w:val="num" w:pos="3312"/>
        </w:tabs>
        <w:ind w:left="3312" w:hanging="360"/>
      </w:pPr>
    </w:lvl>
    <w:lvl w:ilvl="4" w:tplc="04150019" w:tentative="1">
      <w:start w:val="1"/>
      <w:numFmt w:val="lowerLetter"/>
      <w:lvlText w:val="%5."/>
      <w:lvlJc w:val="left"/>
      <w:pPr>
        <w:tabs>
          <w:tab w:val="num" w:pos="4032"/>
        </w:tabs>
        <w:ind w:left="4032" w:hanging="360"/>
      </w:pPr>
    </w:lvl>
    <w:lvl w:ilvl="5" w:tplc="0415001B" w:tentative="1">
      <w:start w:val="1"/>
      <w:numFmt w:val="lowerRoman"/>
      <w:lvlText w:val="%6."/>
      <w:lvlJc w:val="right"/>
      <w:pPr>
        <w:tabs>
          <w:tab w:val="num" w:pos="4752"/>
        </w:tabs>
        <w:ind w:left="4752" w:hanging="180"/>
      </w:pPr>
    </w:lvl>
    <w:lvl w:ilvl="6" w:tplc="0415000F" w:tentative="1">
      <w:start w:val="1"/>
      <w:numFmt w:val="decimal"/>
      <w:lvlText w:val="%7."/>
      <w:lvlJc w:val="left"/>
      <w:pPr>
        <w:tabs>
          <w:tab w:val="num" w:pos="5472"/>
        </w:tabs>
        <w:ind w:left="5472" w:hanging="360"/>
      </w:pPr>
    </w:lvl>
    <w:lvl w:ilvl="7" w:tplc="04150019" w:tentative="1">
      <w:start w:val="1"/>
      <w:numFmt w:val="lowerLetter"/>
      <w:lvlText w:val="%8."/>
      <w:lvlJc w:val="left"/>
      <w:pPr>
        <w:tabs>
          <w:tab w:val="num" w:pos="6192"/>
        </w:tabs>
        <w:ind w:left="6192" w:hanging="360"/>
      </w:pPr>
    </w:lvl>
    <w:lvl w:ilvl="8" w:tplc="0415001B" w:tentative="1">
      <w:start w:val="1"/>
      <w:numFmt w:val="lowerRoman"/>
      <w:lvlText w:val="%9."/>
      <w:lvlJc w:val="right"/>
      <w:pPr>
        <w:tabs>
          <w:tab w:val="num" w:pos="6912"/>
        </w:tabs>
        <w:ind w:left="6912" w:hanging="180"/>
      </w:pPr>
    </w:lvl>
  </w:abstractNum>
  <w:abstractNum w:abstractNumId="7" w15:restartNumberingAfterBreak="0">
    <w:nsid w:val="31501425"/>
    <w:multiLevelType w:val="singleLevel"/>
    <w:tmpl w:val="0415000F"/>
    <w:lvl w:ilvl="0">
      <w:start w:val="1"/>
      <w:numFmt w:val="decimal"/>
      <w:lvlText w:val="%1."/>
      <w:lvlJc w:val="left"/>
      <w:pPr>
        <w:tabs>
          <w:tab w:val="num" w:pos="360"/>
        </w:tabs>
        <w:ind w:left="360" w:hanging="360"/>
      </w:pPr>
    </w:lvl>
  </w:abstractNum>
  <w:abstractNum w:abstractNumId="8" w15:restartNumberingAfterBreak="0">
    <w:nsid w:val="56193AB9"/>
    <w:multiLevelType w:val="hybridMultilevel"/>
    <w:tmpl w:val="6FB6260E"/>
    <w:lvl w:ilvl="0" w:tplc="1678478C">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9" w15:restartNumberingAfterBreak="0">
    <w:nsid w:val="733A3F9C"/>
    <w:multiLevelType w:val="hybridMultilevel"/>
    <w:tmpl w:val="E8943496"/>
    <w:lvl w:ilvl="0" w:tplc="0E0888BC">
      <w:start w:val="1"/>
      <w:numFmt w:val="bullet"/>
      <w:lvlText w:val="-"/>
      <w:lvlJc w:val="left"/>
      <w:pPr>
        <w:tabs>
          <w:tab w:val="num" w:pos="1260"/>
        </w:tabs>
        <w:ind w:left="1260" w:hanging="360"/>
      </w:pPr>
      <w:rPr>
        <w:rFonts w:ascii="Garamond" w:hAnsi="Garamond" w:hint="default"/>
      </w:rPr>
    </w:lvl>
    <w:lvl w:ilvl="1" w:tplc="04150005">
      <w:start w:val="1"/>
      <w:numFmt w:val="bullet"/>
      <w:lvlText w:val=""/>
      <w:lvlJc w:val="left"/>
      <w:pPr>
        <w:tabs>
          <w:tab w:val="num" w:pos="1440"/>
        </w:tabs>
        <w:ind w:left="1440" w:hanging="360"/>
      </w:pPr>
      <w:rPr>
        <w:rFonts w:ascii="Wingdings" w:hAnsi="Wingdings"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4A94960"/>
    <w:multiLevelType w:val="hybridMultilevel"/>
    <w:tmpl w:val="38A219F2"/>
    <w:lvl w:ilvl="0" w:tplc="0E0888BC">
      <w:start w:val="1"/>
      <w:numFmt w:val="bullet"/>
      <w:lvlText w:val="-"/>
      <w:lvlJc w:val="left"/>
      <w:pPr>
        <w:tabs>
          <w:tab w:val="num" w:pos="1260"/>
        </w:tabs>
        <w:ind w:left="1260" w:hanging="360"/>
      </w:pPr>
      <w:rPr>
        <w:rFonts w:ascii="Garamond" w:hAnsi="Garamond"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EE74FE"/>
    <w:multiLevelType w:val="hybridMultilevel"/>
    <w:tmpl w:val="EB98CFDE"/>
    <w:lvl w:ilvl="0" w:tplc="0415000F">
      <w:start w:val="1"/>
      <w:numFmt w:val="decimal"/>
      <w:lvlText w:val="%1."/>
      <w:lvlJc w:val="left"/>
      <w:pPr>
        <w:tabs>
          <w:tab w:val="num" w:pos="1152"/>
        </w:tabs>
        <w:ind w:left="1152" w:hanging="360"/>
      </w:pPr>
    </w:lvl>
    <w:lvl w:ilvl="1" w:tplc="04150019">
      <w:start w:val="1"/>
      <w:numFmt w:val="lowerLetter"/>
      <w:lvlText w:val="%2."/>
      <w:lvlJc w:val="left"/>
      <w:pPr>
        <w:tabs>
          <w:tab w:val="num" w:pos="1872"/>
        </w:tabs>
        <w:ind w:left="1872" w:hanging="360"/>
      </w:pPr>
    </w:lvl>
    <w:lvl w:ilvl="2" w:tplc="0415001B" w:tentative="1">
      <w:start w:val="1"/>
      <w:numFmt w:val="lowerRoman"/>
      <w:lvlText w:val="%3."/>
      <w:lvlJc w:val="right"/>
      <w:pPr>
        <w:tabs>
          <w:tab w:val="num" w:pos="2592"/>
        </w:tabs>
        <w:ind w:left="2592" w:hanging="180"/>
      </w:pPr>
    </w:lvl>
    <w:lvl w:ilvl="3" w:tplc="0415000F" w:tentative="1">
      <w:start w:val="1"/>
      <w:numFmt w:val="decimal"/>
      <w:lvlText w:val="%4."/>
      <w:lvlJc w:val="left"/>
      <w:pPr>
        <w:tabs>
          <w:tab w:val="num" w:pos="3312"/>
        </w:tabs>
        <w:ind w:left="3312" w:hanging="360"/>
      </w:pPr>
    </w:lvl>
    <w:lvl w:ilvl="4" w:tplc="04150019" w:tentative="1">
      <w:start w:val="1"/>
      <w:numFmt w:val="lowerLetter"/>
      <w:lvlText w:val="%5."/>
      <w:lvlJc w:val="left"/>
      <w:pPr>
        <w:tabs>
          <w:tab w:val="num" w:pos="4032"/>
        </w:tabs>
        <w:ind w:left="4032" w:hanging="360"/>
      </w:pPr>
    </w:lvl>
    <w:lvl w:ilvl="5" w:tplc="0415001B" w:tentative="1">
      <w:start w:val="1"/>
      <w:numFmt w:val="lowerRoman"/>
      <w:lvlText w:val="%6."/>
      <w:lvlJc w:val="right"/>
      <w:pPr>
        <w:tabs>
          <w:tab w:val="num" w:pos="4752"/>
        </w:tabs>
        <w:ind w:left="4752" w:hanging="180"/>
      </w:pPr>
    </w:lvl>
    <w:lvl w:ilvl="6" w:tplc="0415000F" w:tentative="1">
      <w:start w:val="1"/>
      <w:numFmt w:val="decimal"/>
      <w:lvlText w:val="%7."/>
      <w:lvlJc w:val="left"/>
      <w:pPr>
        <w:tabs>
          <w:tab w:val="num" w:pos="5472"/>
        </w:tabs>
        <w:ind w:left="5472" w:hanging="360"/>
      </w:pPr>
    </w:lvl>
    <w:lvl w:ilvl="7" w:tplc="04150019" w:tentative="1">
      <w:start w:val="1"/>
      <w:numFmt w:val="lowerLetter"/>
      <w:lvlText w:val="%8."/>
      <w:lvlJc w:val="left"/>
      <w:pPr>
        <w:tabs>
          <w:tab w:val="num" w:pos="6192"/>
        </w:tabs>
        <w:ind w:left="6192" w:hanging="360"/>
      </w:pPr>
    </w:lvl>
    <w:lvl w:ilvl="8" w:tplc="0415001B" w:tentative="1">
      <w:start w:val="1"/>
      <w:numFmt w:val="lowerRoman"/>
      <w:lvlText w:val="%9."/>
      <w:lvlJc w:val="right"/>
      <w:pPr>
        <w:tabs>
          <w:tab w:val="num" w:pos="6912"/>
        </w:tabs>
        <w:ind w:left="6912" w:hanging="180"/>
      </w:pPr>
    </w:lvl>
  </w:abstractNum>
  <w:num w:numId="1" w16cid:durableId="1407876465">
    <w:abstractNumId w:val="0"/>
  </w:num>
  <w:num w:numId="2" w16cid:durableId="1396469504">
    <w:abstractNumId w:val="7"/>
  </w:num>
  <w:num w:numId="3" w16cid:durableId="1164393951">
    <w:abstractNumId w:val="5"/>
  </w:num>
  <w:num w:numId="4" w16cid:durableId="293678489">
    <w:abstractNumId w:val="1"/>
  </w:num>
  <w:num w:numId="5" w16cid:durableId="2041928902">
    <w:abstractNumId w:val="8"/>
  </w:num>
  <w:num w:numId="6" w16cid:durableId="1768766441">
    <w:abstractNumId w:val="4"/>
  </w:num>
  <w:num w:numId="7" w16cid:durableId="1491602994">
    <w:abstractNumId w:val="6"/>
  </w:num>
  <w:num w:numId="8" w16cid:durableId="171383786">
    <w:abstractNumId w:val="11"/>
  </w:num>
  <w:num w:numId="9" w16cid:durableId="1618489571">
    <w:abstractNumId w:val="3"/>
  </w:num>
  <w:num w:numId="10" w16cid:durableId="1156267706">
    <w:abstractNumId w:val="2"/>
  </w:num>
  <w:num w:numId="11" w16cid:durableId="35009179">
    <w:abstractNumId w:val="9"/>
  </w:num>
  <w:num w:numId="12" w16cid:durableId="13142895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113954_OŚWIADCZENIE SKAZANEGO NA KOW POTRĄCENIA"/>
  </w:docVars>
  <w:rsids>
    <w:rsidRoot w:val="008210D2"/>
    <w:rsid w:val="00007DE8"/>
    <w:rsid w:val="000230AA"/>
    <w:rsid w:val="00024D61"/>
    <w:rsid w:val="000251F5"/>
    <w:rsid w:val="00033F5D"/>
    <w:rsid w:val="00044988"/>
    <w:rsid w:val="000656A5"/>
    <w:rsid w:val="00072B3E"/>
    <w:rsid w:val="00073391"/>
    <w:rsid w:val="000866BD"/>
    <w:rsid w:val="000950AF"/>
    <w:rsid w:val="000A5466"/>
    <w:rsid w:val="000A7634"/>
    <w:rsid w:val="000B30A5"/>
    <w:rsid w:val="000C4BC6"/>
    <w:rsid w:val="000C5986"/>
    <w:rsid w:val="000D0464"/>
    <w:rsid w:val="000E492D"/>
    <w:rsid w:val="00105351"/>
    <w:rsid w:val="00105A49"/>
    <w:rsid w:val="00115EEF"/>
    <w:rsid w:val="001164B2"/>
    <w:rsid w:val="00155DB4"/>
    <w:rsid w:val="00165C40"/>
    <w:rsid w:val="00176119"/>
    <w:rsid w:val="00181C42"/>
    <w:rsid w:val="001848E2"/>
    <w:rsid w:val="0019690F"/>
    <w:rsid w:val="001B2D1E"/>
    <w:rsid w:val="001C72C1"/>
    <w:rsid w:val="001D4CEC"/>
    <w:rsid w:val="001E1838"/>
    <w:rsid w:val="00213512"/>
    <w:rsid w:val="00234F3D"/>
    <w:rsid w:val="002507FF"/>
    <w:rsid w:val="00263AB6"/>
    <w:rsid w:val="0028003C"/>
    <w:rsid w:val="00284586"/>
    <w:rsid w:val="00286DCA"/>
    <w:rsid w:val="00296F89"/>
    <w:rsid w:val="002C74AA"/>
    <w:rsid w:val="0030198D"/>
    <w:rsid w:val="0030493F"/>
    <w:rsid w:val="00305CA4"/>
    <w:rsid w:val="00310C59"/>
    <w:rsid w:val="00322E68"/>
    <w:rsid w:val="003264AB"/>
    <w:rsid w:val="00333E21"/>
    <w:rsid w:val="003442EC"/>
    <w:rsid w:val="00347814"/>
    <w:rsid w:val="00362E6A"/>
    <w:rsid w:val="00363826"/>
    <w:rsid w:val="0037700C"/>
    <w:rsid w:val="00384B96"/>
    <w:rsid w:val="003901C2"/>
    <w:rsid w:val="00392645"/>
    <w:rsid w:val="003A1972"/>
    <w:rsid w:val="003B111A"/>
    <w:rsid w:val="003C1BFB"/>
    <w:rsid w:val="003C5986"/>
    <w:rsid w:val="003C5AD2"/>
    <w:rsid w:val="003D2842"/>
    <w:rsid w:val="003F4C85"/>
    <w:rsid w:val="00426836"/>
    <w:rsid w:val="0044528C"/>
    <w:rsid w:val="00447702"/>
    <w:rsid w:val="0045351E"/>
    <w:rsid w:val="004536C1"/>
    <w:rsid w:val="00455D1A"/>
    <w:rsid w:val="00456D75"/>
    <w:rsid w:val="0046418E"/>
    <w:rsid w:val="00472C31"/>
    <w:rsid w:val="004771A4"/>
    <w:rsid w:val="00486647"/>
    <w:rsid w:val="00487028"/>
    <w:rsid w:val="004914A9"/>
    <w:rsid w:val="004A1D95"/>
    <w:rsid w:val="004A6D57"/>
    <w:rsid w:val="004B124E"/>
    <w:rsid w:val="004C50B1"/>
    <w:rsid w:val="004C6439"/>
    <w:rsid w:val="004D4C67"/>
    <w:rsid w:val="004E115F"/>
    <w:rsid w:val="004F546D"/>
    <w:rsid w:val="00500174"/>
    <w:rsid w:val="00501A44"/>
    <w:rsid w:val="00512FA9"/>
    <w:rsid w:val="00534620"/>
    <w:rsid w:val="00552BA1"/>
    <w:rsid w:val="00556B8C"/>
    <w:rsid w:val="005761C8"/>
    <w:rsid w:val="0059279A"/>
    <w:rsid w:val="00595A6C"/>
    <w:rsid w:val="005B6A94"/>
    <w:rsid w:val="005D1CF7"/>
    <w:rsid w:val="005E15D7"/>
    <w:rsid w:val="005E1CE9"/>
    <w:rsid w:val="005F1158"/>
    <w:rsid w:val="0061045F"/>
    <w:rsid w:val="006157FF"/>
    <w:rsid w:val="00621A20"/>
    <w:rsid w:val="0062731F"/>
    <w:rsid w:val="006415EA"/>
    <w:rsid w:val="00642196"/>
    <w:rsid w:val="0065236C"/>
    <w:rsid w:val="006723DC"/>
    <w:rsid w:val="00680DFC"/>
    <w:rsid w:val="00683A10"/>
    <w:rsid w:val="00684F29"/>
    <w:rsid w:val="00692CB9"/>
    <w:rsid w:val="006A4F4C"/>
    <w:rsid w:val="006B08CE"/>
    <w:rsid w:val="006C32C7"/>
    <w:rsid w:val="006E24E5"/>
    <w:rsid w:val="006E7C57"/>
    <w:rsid w:val="006F2DEC"/>
    <w:rsid w:val="00701774"/>
    <w:rsid w:val="00701CD5"/>
    <w:rsid w:val="007045FE"/>
    <w:rsid w:val="00707C05"/>
    <w:rsid w:val="00722650"/>
    <w:rsid w:val="007643CA"/>
    <w:rsid w:val="00781C89"/>
    <w:rsid w:val="007A0B7D"/>
    <w:rsid w:val="007A7A68"/>
    <w:rsid w:val="007C2156"/>
    <w:rsid w:val="007D19F2"/>
    <w:rsid w:val="007D5C35"/>
    <w:rsid w:val="007D70FF"/>
    <w:rsid w:val="007F4AAC"/>
    <w:rsid w:val="0080262A"/>
    <w:rsid w:val="008053BD"/>
    <w:rsid w:val="008110BE"/>
    <w:rsid w:val="0081533D"/>
    <w:rsid w:val="008210D2"/>
    <w:rsid w:val="00833B4A"/>
    <w:rsid w:val="008407DF"/>
    <w:rsid w:val="0084628A"/>
    <w:rsid w:val="008473E0"/>
    <w:rsid w:val="00861369"/>
    <w:rsid w:val="00863C39"/>
    <w:rsid w:val="0086439A"/>
    <w:rsid w:val="00865B50"/>
    <w:rsid w:val="00871C62"/>
    <w:rsid w:val="00871E19"/>
    <w:rsid w:val="008724A1"/>
    <w:rsid w:val="00877303"/>
    <w:rsid w:val="00883BF6"/>
    <w:rsid w:val="008904AF"/>
    <w:rsid w:val="008A0607"/>
    <w:rsid w:val="008A0A22"/>
    <w:rsid w:val="008A118C"/>
    <w:rsid w:val="008A25D4"/>
    <w:rsid w:val="008A4416"/>
    <w:rsid w:val="008A4984"/>
    <w:rsid w:val="008A755D"/>
    <w:rsid w:val="008A7818"/>
    <w:rsid w:val="008A7CDA"/>
    <w:rsid w:val="008C1778"/>
    <w:rsid w:val="008C332C"/>
    <w:rsid w:val="008F0491"/>
    <w:rsid w:val="00912F67"/>
    <w:rsid w:val="00913A22"/>
    <w:rsid w:val="009226DE"/>
    <w:rsid w:val="00925F59"/>
    <w:rsid w:val="00946A5A"/>
    <w:rsid w:val="00953E6F"/>
    <w:rsid w:val="00956744"/>
    <w:rsid w:val="009628A9"/>
    <w:rsid w:val="00977D7C"/>
    <w:rsid w:val="0098223D"/>
    <w:rsid w:val="009831ED"/>
    <w:rsid w:val="00995F16"/>
    <w:rsid w:val="009A2307"/>
    <w:rsid w:val="009A30C7"/>
    <w:rsid w:val="009B0FBA"/>
    <w:rsid w:val="009E1D92"/>
    <w:rsid w:val="009F4C94"/>
    <w:rsid w:val="00A214F0"/>
    <w:rsid w:val="00A22F03"/>
    <w:rsid w:val="00A24DDF"/>
    <w:rsid w:val="00A44B71"/>
    <w:rsid w:val="00A67972"/>
    <w:rsid w:val="00A70DD7"/>
    <w:rsid w:val="00A77495"/>
    <w:rsid w:val="00AA23A7"/>
    <w:rsid w:val="00AA47D7"/>
    <w:rsid w:val="00AA6152"/>
    <w:rsid w:val="00AA77A2"/>
    <w:rsid w:val="00AB77EB"/>
    <w:rsid w:val="00AD1417"/>
    <w:rsid w:val="00AD7504"/>
    <w:rsid w:val="00AE37FB"/>
    <w:rsid w:val="00AF3B17"/>
    <w:rsid w:val="00AF5271"/>
    <w:rsid w:val="00B06B2A"/>
    <w:rsid w:val="00B11EA0"/>
    <w:rsid w:val="00B17366"/>
    <w:rsid w:val="00B33E20"/>
    <w:rsid w:val="00B35145"/>
    <w:rsid w:val="00B4799B"/>
    <w:rsid w:val="00B71632"/>
    <w:rsid w:val="00B768B3"/>
    <w:rsid w:val="00B90F33"/>
    <w:rsid w:val="00BA2CBC"/>
    <w:rsid w:val="00BA4CA5"/>
    <w:rsid w:val="00BB124C"/>
    <w:rsid w:val="00BB15EA"/>
    <w:rsid w:val="00BC281D"/>
    <w:rsid w:val="00BC305F"/>
    <w:rsid w:val="00BD02C8"/>
    <w:rsid w:val="00BD6E7B"/>
    <w:rsid w:val="00BF2522"/>
    <w:rsid w:val="00BF6BA1"/>
    <w:rsid w:val="00C027CB"/>
    <w:rsid w:val="00C34B54"/>
    <w:rsid w:val="00C40983"/>
    <w:rsid w:val="00C45B09"/>
    <w:rsid w:val="00C50EF8"/>
    <w:rsid w:val="00C61D0C"/>
    <w:rsid w:val="00C65D50"/>
    <w:rsid w:val="00C67362"/>
    <w:rsid w:val="00C72060"/>
    <w:rsid w:val="00C77E84"/>
    <w:rsid w:val="00C83DF3"/>
    <w:rsid w:val="00C8502B"/>
    <w:rsid w:val="00C95C06"/>
    <w:rsid w:val="00CA69DD"/>
    <w:rsid w:val="00CB08B9"/>
    <w:rsid w:val="00CB1466"/>
    <w:rsid w:val="00CB1DE9"/>
    <w:rsid w:val="00CB240D"/>
    <w:rsid w:val="00CC5252"/>
    <w:rsid w:val="00CD366D"/>
    <w:rsid w:val="00CE0A81"/>
    <w:rsid w:val="00D01635"/>
    <w:rsid w:val="00D0731F"/>
    <w:rsid w:val="00D23556"/>
    <w:rsid w:val="00D36DF8"/>
    <w:rsid w:val="00D416A0"/>
    <w:rsid w:val="00D57C35"/>
    <w:rsid w:val="00D65A03"/>
    <w:rsid w:val="00D94C8F"/>
    <w:rsid w:val="00DA24AA"/>
    <w:rsid w:val="00DA4564"/>
    <w:rsid w:val="00DB0A33"/>
    <w:rsid w:val="00DB2100"/>
    <w:rsid w:val="00DB2FAF"/>
    <w:rsid w:val="00DD3B3E"/>
    <w:rsid w:val="00E012E9"/>
    <w:rsid w:val="00E073A0"/>
    <w:rsid w:val="00E236CD"/>
    <w:rsid w:val="00E2450F"/>
    <w:rsid w:val="00E247E5"/>
    <w:rsid w:val="00E31927"/>
    <w:rsid w:val="00E342C2"/>
    <w:rsid w:val="00E52A02"/>
    <w:rsid w:val="00E5363C"/>
    <w:rsid w:val="00E7306A"/>
    <w:rsid w:val="00E751A5"/>
    <w:rsid w:val="00E837F0"/>
    <w:rsid w:val="00E83EBD"/>
    <w:rsid w:val="00E9159E"/>
    <w:rsid w:val="00EA3B7A"/>
    <w:rsid w:val="00EB7BE6"/>
    <w:rsid w:val="00EC2377"/>
    <w:rsid w:val="00ED63E1"/>
    <w:rsid w:val="00ED6B7D"/>
    <w:rsid w:val="00EE34A2"/>
    <w:rsid w:val="00EE6188"/>
    <w:rsid w:val="00EF10D2"/>
    <w:rsid w:val="00EF3C56"/>
    <w:rsid w:val="00EF7F51"/>
    <w:rsid w:val="00F00681"/>
    <w:rsid w:val="00F03410"/>
    <w:rsid w:val="00F04DD6"/>
    <w:rsid w:val="00F17389"/>
    <w:rsid w:val="00F21D65"/>
    <w:rsid w:val="00F3423B"/>
    <w:rsid w:val="00F343A3"/>
    <w:rsid w:val="00F4200B"/>
    <w:rsid w:val="00F42E96"/>
    <w:rsid w:val="00F623DC"/>
    <w:rsid w:val="00F81C45"/>
    <w:rsid w:val="00F82271"/>
    <w:rsid w:val="00F86C85"/>
    <w:rsid w:val="00F946D3"/>
    <w:rsid w:val="00FA28E7"/>
    <w:rsid w:val="00FA2FCC"/>
    <w:rsid w:val="00FC0310"/>
    <w:rsid w:val="00FC370B"/>
    <w:rsid w:val="00FD122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DB8D5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Pr>
      <w:sz w:val="18"/>
    </w:rPr>
  </w:style>
  <w:style w:type="paragraph" w:styleId="Nagwek1">
    <w:name w:val="heading 1"/>
    <w:basedOn w:val="Normalny"/>
    <w:next w:val="Normalny"/>
    <w:qFormat/>
    <w:pPr>
      <w:keepNext/>
      <w:spacing w:line="360" w:lineRule="auto"/>
      <w:jc w:val="center"/>
      <w:outlineLvl w:val="0"/>
    </w:pPr>
    <w:rPr>
      <w:b/>
      <w:sz w:val="24"/>
      <w:szCs w:val="24"/>
    </w:rPr>
  </w:style>
  <w:style w:type="paragraph" w:styleId="Nagwek2">
    <w:name w:val="heading 2"/>
    <w:basedOn w:val="Normalny"/>
    <w:next w:val="Normalny"/>
    <w:qFormat/>
    <w:pPr>
      <w:keepNext/>
      <w:tabs>
        <w:tab w:val="left" w:pos="3780"/>
      </w:tabs>
      <w:spacing w:line="360" w:lineRule="auto"/>
      <w:outlineLvl w:val="1"/>
    </w:pPr>
    <w:rPr>
      <w:b/>
    </w:rPr>
  </w:style>
  <w:style w:type="paragraph" w:styleId="Nagwek3">
    <w:name w:val="heading 3"/>
    <w:basedOn w:val="Normalny"/>
    <w:next w:val="Normalny"/>
    <w:link w:val="Nagwek3Znak"/>
    <w:semiHidden/>
    <w:unhideWhenUsed/>
    <w:qFormat/>
    <w:rsid w:val="006C32C7"/>
    <w:pPr>
      <w:keepNext/>
      <w:spacing w:before="240" w:after="60"/>
      <w:outlineLvl w:val="2"/>
    </w:pPr>
    <w:rPr>
      <w:rFonts w:ascii="Calibri Light" w:hAnsi="Calibri Light"/>
      <w:b/>
      <w:bCs/>
      <w:sz w:val="26"/>
      <w:szCs w:val="26"/>
      <w:lang w:val="x-none" w:eastAsia="x-none"/>
    </w:rPr>
  </w:style>
  <w:style w:type="paragraph" w:styleId="Nagwek4">
    <w:name w:val="heading 4"/>
    <w:basedOn w:val="Normalny"/>
    <w:next w:val="Normalny"/>
    <w:link w:val="Nagwek4Znak"/>
    <w:semiHidden/>
    <w:unhideWhenUsed/>
    <w:qFormat/>
    <w:rsid w:val="006C32C7"/>
    <w:pPr>
      <w:keepNext/>
      <w:spacing w:before="240" w:after="60"/>
      <w:outlineLvl w:val="3"/>
    </w:pPr>
    <w:rPr>
      <w:rFonts w:ascii="Calibri" w:hAnsi="Calibri"/>
      <w:b/>
      <w:bCs/>
      <w:sz w:val="28"/>
      <w:szCs w:val="28"/>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pPr>
      <w:tabs>
        <w:tab w:val="center" w:pos="4536"/>
        <w:tab w:val="right" w:pos="9072"/>
      </w:tabs>
    </w:pPr>
    <w:rPr>
      <w:i/>
      <w:sz w:val="16"/>
    </w:rPr>
  </w:style>
  <w:style w:type="character" w:customStyle="1" w:styleId="SygnaturaKod">
    <w:name w:val="Sygnatura Kod"/>
    <w:rsid w:val="00AF3B17"/>
    <w:rPr>
      <w:rFonts w:ascii="BarCode3of9" w:hAnsi="BarCode3of9"/>
      <w:sz w:val="32"/>
    </w:rPr>
  </w:style>
  <w:style w:type="character" w:styleId="Odwoaniedokomentarza">
    <w:name w:val="annotation reference"/>
    <w:semiHidden/>
    <w:rPr>
      <w:sz w:val="16"/>
      <w:szCs w:val="16"/>
    </w:rPr>
  </w:style>
  <w:style w:type="character" w:customStyle="1" w:styleId="oznaczeniepracownika">
    <w:name w:val="oznaczenie pracownika"/>
    <w:rsid w:val="00AF3B17"/>
    <w:rPr>
      <w:rFonts w:ascii="Times New Roman" w:hAnsi="Times New Roman"/>
      <w:b/>
    </w:rPr>
  </w:style>
  <w:style w:type="paragraph" w:customStyle="1" w:styleId="Podpowied">
    <w:name w:val="Podpowiedź"/>
    <w:basedOn w:val="Normalny"/>
    <w:pPr>
      <w:tabs>
        <w:tab w:val="center" w:pos="7740"/>
      </w:tabs>
    </w:pPr>
    <w:rPr>
      <w:sz w:val="16"/>
      <w:szCs w:val="14"/>
    </w:rPr>
  </w:style>
  <w:style w:type="paragraph" w:customStyle="1" w:styleId="Adresat">
    <w:name w:val="Adresat"/>
    <w:basedOn w:val="Normalny"/>
    <w:pPr>
      <w:ind w:left="5400" w:hanging="2"/>
    </w:pPr>
    <w:rPr>
      <w:sz w:val="26"/>
    </w:rPr>
  </w:style>
  <w:style w:type="paragraph" w:styleId="Tytu">
    <w:name w:val="Title"/>
    <w:basedOn w:val="Normalny"/>
    <w:next w:val="Podtytu"/>
    <w:qFormat/>
    <w:pPr>
      <w:spacing w:before="600" w:after="120"/>
      <w:jc w:val="center"/>
      <w:outlineLvl w:val="0"/>
    </w:pPr>
    <w:rPr>
      <w:rFonts w:cs="Arial"/>
      <w:b/>
      <w:bCs/>
      <w:kern w:val="28"/>
      <w:sz w:val="32"/>
      <w:szCs w:val="32"/>
    </w:rPr>
  </w:style>
  <w:style w:type="paragraph" w:styleId="Podtytu">
    <w:name w:val="Subtitle"/>
    <w:basedOn w:val="Normalny"/>
    <w:next w:val="Tre"/>
    <w:qFormat/>
    <w:pPr>
      <w:spacing w:after="600"/>
      <w:jc w:val="center"/>
      <w:outlineLvl w:val="1"/>
    </w:pPr>
    <w:rPr>
      <w:rFonts w:cs="Arial"/>
      <w:b/>
      <w:sz w:val="28"/>
      <w:szCs w:val="24"/>
    </w:rPr>
  </w:style>
  <w:style w:type="paragraph" w:customStyle="1" w:styleId="Tre">
    <w:name w:val="Treść"/>
    <w:basedOn w:val="Normalny"/>
    <w:pPr>
      <w:spacing w:line="360" w:lineRule="auto"/>
      <w:jc w:val="both"/>
      <w:outlineLvl w:val="0"/>
    </w:pPr>
    <w:rPr>
      <w:sz w:val="24"/>
      <w:szCs w:val="18"/>
    </w:rPr>
  </w:style>
  <w:style w:type="paragraph" w:customStyle="1" w:styleId="Pouczenienagwek">
    <w:name w:val="Pouczenie nagłówek"/>
    <w:basedOn w:val="Podtytu"/>
    <w:rPr>
      <w:caps/>
      <w:spacing w:val="80"/>
      <w:szCs w:val="22"/>
    </w:rPr>
  </w:style>
  <w:style w:type="character" w:customStyle="1" w:styleId="PodpowiedZnak">
    <w:name w:val="Podpowiedź Znak"/>
    <w:rPr>
      <w:sz w:val="14"/>
      <w:szCs w:val="14"/>
      <w:lang w:val="pl-PL" w:eastAsia="pl-PL" w:bidi="ar-SA"/>
    </w:rPr>
  </w:style>
  <w:style w:type="paragraph" w:customStyle="1" w:styleId="Sygnaturapowizana">
    <w:name w:val="Sygnatura powiązana"/>
    <w:basedOn w:val="Termin"/>
    <w:rsid w:val="00C65D50"/>
    <w:pPr>
      <w:tabs>
        <w:tab w:val="clear" w:pos="1622"/>
      </w:tabs>
      <w:spacing w:before="480"/>
    </w:pPr>
  </w:style>
  <w:style w:type="paragraph" w:customStyle="1" w:styleId="Piecz">
    <w:name w:val="Pieczęć"/>
    <w:basedOn w:val="Normalny"/>
    <w:pPr>
      <w:spacing w:before="20" w:after="20"/>
      <w:jc w:val="center"/>
    </w:pPr>
    <w:rPr>
      <w:rFonts w:ascii="Arial" w:hAnsi="Arial"/>
      <w:b/>
      <w:sz w:val="20"/>
      <w:szCs w:val="18"/>
    </w:rPr>
  </w:style>
  <w:style w:type="character" w:customStyle="1" w:styleId="PieczZnak">
    <w:name w:val="Pieczęć Znak"/>
    <w:rPr>
      <w:rFonts w:ascii="Arial" w:hAnsi="Arial"/>
      <w:b/>
      <w:sz w:val="16"/>
      <w:szCs w:val="18"/>
      <w:lang w:val="pl-PL" w:eastAsia="pl-PL" w:bidi="ar-SA"/>
    </w:rPr>
  </w:style>
  <w:style w:type="paragraph" w:customStyle="1" w:styleId="Pieczmaa">
    <w:name w:val="Pieczęć mała"/>
    <w:basedOn w:val="Piecz"/>
    <w:rPr>
      <w:b w:val="0"/>
      <w:sz w:val="18"/>
    </w:rPr>
  </w:style>
  <w:style w:type="paragraph" w:customStyle="1" w:styleId="Sygnatura">
    <w:name w:val="Sygnatura"/>
    <w:basedOn w:val="Normalny"/>
    <w:next w:val="Podpowiedzsygnatura"/>
    <w:rsid w:val="00C65D50"/>
    <w:pPr>
      <w:tabs>
        <w:tab w:val="center" w:pos="1985"/>
      </w:tabs>
      <w:spacing w:before="360" w:after="40"/>
    </w:pPr>
    <w:rPr>
      <w:sz w:val="28"/>
      <w:szCs w:val="24"/>
    </w:rPr>
  </w:style>
  <w:style w:type="paragraph" w:customStyle="1" w:styleId="Pouczenietre">
    <w:name w:val="Pouczenie treść"/>
    <w:basedOn w:val="Normalny"/>
    <w:pPr>
      <w:spacing w:after="120"/>
      <w:jc w:val="both"/>
    </w:pPr>
    <w:rPr>
      <w:sz w:val="22"/>
      <w:szCs w:val="16"/>
    </w:rPr>
  </w:style>
  <w:style w:type="paragraph" w:customStyle="1" w:styleId="Podpowiedstanowisko">
    <w:name w:val="Podpowiedź stanowisko"/>
    <w:basedOn w:val="Podpowied"/>
    <w:next w:val="Podpowied"/>
    <w:pPr>
      <w:spacing w:after="480"/>
    </w:pPr>
    <w:rPr>
      <w:b/>
      <w:sz w:val="20"/>
    </w:rPr>
  </w:style>
  <w:style w:type="paragraph" w:customStyle="1" w:styleId="Nagowekdata">
    <w:name w:val="Nagłowek data"/>
    <w:basedOn w:val="Normalny"/>
    <w:pPr>
      <w:jc w:val="right"/>
    </w:pPr>
    <w:rPr>
      <w:sz w:val="24"/>
      <w:szCs w:val="18"/>
    </w:rPr>
  </w:style>
  <w:style w:type="paragraph" w:customStyle="1" w:styleId="Podpowiedzsygnatura">
    <w:name w:val="Podpowiedz sygnatura"/>
    <w:basedOn w:val="Podpowied"/>
    <w:next w:val="Adresat"/>
    <w:rsid w:val="00C65D50"/>
    <w:pPr>
      <w:tabs>
        <w:tab w:val="clear" w:pos="7740"/>
        <w:tab w:val="center" w:pos="1985"/>
      </w:tabs>
      <w:spacing w:after="240"/>
    </w:pPr>
  </w:style>
  <w:style w:type="paragraph" w:customStyle="1" w:styleId="Termin">
    <w:name w:val="Termin"/>
    <w:basedOn w:val="Tre"/>
    <w:pPr>
      <w:tabs>
        <w:tab w:val="left" w:pos="1622"/>
      </w:tabs>
      <w:spacing w:line="240" w:lineRule="auto"/>
    </w:pPr>
    <w:rPr>
      <w:b/>
    </w:rPr>
  </w:style>
  <w:style w:type="paragraph" w:customStyle="1" w:styleId="Skadsdziowski">
    <w:name w:val="Skład sędziowski"/>
    <w:basedOn w:val="Tre"/>
    <w:pPr>
      <w:tabs>
        <w:tab w:val="right" w:pos="1800"/>
      </w:tabs>
      <w:ind w:left="2160" w:hanging="2160"/>
    </w:pPr>
  </w:style>
  <w:style w:type="character" w:customStyle="1" w:styleId="FontStyle17">
    <w:name w:val="Font Style17"/>
    <w:rsid w:val="00534620"/>
    <w:rPr>
      <w:rFonts w:ascii="Arial" w:hAnsi="Arial" w:cs="Arial"/>
      <w:sz w:val="12"/>
      <w:szCs w:val="12"/>
    </w:rPr>
  </w:style>
  <w:style w:type="character" w:customStyle="1" w:styleId="Nagwek3Znak">
    <w:name w:val="Nagłówek 3 Znak"/>
    <w:link w:val="Nagwek3"/>
    <w:semiHidden/>
    <w:rsid w:val="006C32C7"/>
    <w:rPr>
      <w:rFonts w:ascii="Calibri Light" w:eastAsia="Times New Roman" w:hAnsi="Calibri Light" w:cs="Times New Roman"/>
      <w:b/>
      <w:bCs/>
      <w:sz w:val="26"/>
      <w:szCs w:val="26"/>
    </w:rPr>
  </w:style>
  <w:style w:type="character" w:customStyle="1" w:styleId="Nagwek4Znak">
    <w:name w:val="Nagłówek 4 Znak"/>
    <w:link w:val="Nagwek4"/>
    <w:semiHidden/>
    <w:rsid w:val="006C32C7"/>
    <w:rPr>
      <w:rFonts w:ascii="Calibri" w:eastAsia="Times New Roman" w:hAnsi="Calibri" w:cs="Times New Roman"/>
      <w:b/>
      <w:bCs/>
      <w:sz w:val="28"/>
      <w:szCs w:val="28"/>
    </w:rPr>
  </w:style>
  <w:style w:type="paragraph" w:styleId="Tekstdymka">
    <w:name w:val="Balloon Text"/>
    <w:basedOn w:val="Normalny"/>
    <w:link w:val="TekstdymkaZnak"/>
    <w:rsid w:val="00877303"/>
    <w:rPr>
      <w:rFonts w:ascii="Segoe UI" w:hAnsi="Segoe UI"/>
      <w:szCs w:val="18"/>
      <w:lang w:val="x-none" w:eastAsia="x-none"/>
    </w:rPr>
  </w:style>
  <w:style w:type="character" w:customStyle="1" w:styleId="TekstdymkaZnak">
    <w:name w:val="Tekst dymka Znak"/>
    <w:link w:val="Tekstdymka"/>
    <w:rsid w:val="00877303"/>
    <w:rPr>
      <w:rFonts w:ascii="Segoe UI" w:hAnsi="Segoe UI" w:cs="Segoe UI"/>
      <w:sz w:val="18"/>
      <w:szCs w:val="18"/>
    </w:rPr>
  </w:style>
  <w:style w:type="paragraph" w:styleId="Stopka">
    <w:name w:val="footer"/>
    <w:basedOn w:val="Normalny"/>
    <w:link w:val="StopkaZnak"/>
    <w:uiPriority w:val="99"/>
    <w:rsid w:val="00E7306A"/>
    <w:pPr>
      <w:tabs>
        <w:tab w:val="center" w:pos="4536"/>
        <w:tab w:val="right" w:pos="9072"/>
      </w:tabs>
    </w:pPr>
  </w:style>
  <w:style w:type="character" w:customStyle="1" w:styleId="StopkaZnak">
    <w:name w:val="Stopka Znak"/>
    <w:basedOn w:val="Domylnaczcionkaakapitu"/>
    <w:link w:val="Stopka"/>
    <w:uiPriority w:val="99"/>
    <w:rsid w:val="00E7306A"/>
    <w:rPr>
      <w:sz w:val="18"/>
    </w:rPr>
  </w:style>
  <w:style w:type="paragraph" w:styleId="Tekstprzypisudolnego">
    <w:name w:val="footnote text"/>
    <w:basedOn w:val="Normalny"/>
    <w:link w:val="TekstprzypisudolnegoZnak"/>
    <w:rsid w:val="004B124E"/>
    <w:rPr>
      <w:sz w:val="20"/>
    </w:rPr>
  </w:style>
  <w:style w:type="character" w:customStyle="1" w:styleId="TekstprzypisudolnegoZnak">
    <w:name w:val="Tekst przypisu dolnego Znak"/>
    <w:basedOn w:val="Domylnaczcionkaakapitu"/>
    <w:link w:val="Tekstprzypisudolnego"/>
    <w:rsid w:val="004B124E"/>
  </w:style>
  <w:style w:type="paragraph" w:styleId="NormalnyWeb">
    <w:name w:val="Normal (Web)"/>
    <w:basedOn w:val="Normalny"/>
    <w:rsid w:val="00595A6C"/>
    <w:pPr>
      <w:spacing w:before="100" w:after="100"/>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4075275">
      <w:bodyDiv w:val="1"/>
      <w:marLeft w:val="0"/>
      <w:marRight w:val="0"/>
      <w:marTop w:val="0"/>
      <w:marBottom w:val="0"/>
      <w:divBdr>
        <w:top w:val="none" w:sz="0" w:space="0" w:color="auto"/>
        <w:left w:val="none" w:sz="0" w:space="0" w:color="auto"/>
        <w:bottom w:val="none" w:sz="0" w:space="0" w:color="auto"/>
        <w:right w:val="none" w:sz="0" w:space="0" w:color="auto"/>
      </w:divBdr>
    </w:div>
    <w:div w:id="917398559">
      <w:bodyDiv w:val="1"/>
      <w:marLeft w:val="0"/>
      <w:marRight w:val="0"/>
      <w:marTop w:val="0"/>
      <w:marBottom w:val="0"/>
      <w:divBdr>
        <w:top w:val="none" w:sz="0" w:space="0" w:color="auto"/>
        <w:left w:val="none" w:sz="0" w:space="0" w:color="auto"/>
        <w:bottom w:val="none" w:sz="0" w:space="0" w:color="auto"/>
        <w:right w:val="none" w:sz="0" w:space="0" w:color="auto"/>
      </w:divBdr>
    </w:div>
    <w:div w:id="1197423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1169</Words>
  <Characters>7494</Characters>
  <Application>Microsoft Office Word</Application>
  <DocSecurity>0</DocSecurity>
  <Lines>115</Lines>
  <Paragraphs>45</Paragraphs>
  <ScaleCrop>false</ScaleCrop>
  <Manager/>
  <Company/>
  <LinksUpToDate>false</LinksUpToDate>
  <CharactersWithSpaces>8630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2026-05-12T08:36:00Z</dcterms:created>
  <dcterms:modified xsi:type="dcterms:W3CDTF">2026-05-12T08:37:00Z</dcterms:modified>
  <cp:category/>
</cp:coreProperties>
</file>